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74F83" w14:textId="77777777" w:rsidR="005D1152" w:rsidRDefault="005D1152" w:rsidP="00620527">
      <w:pPr>
        <w:spacing w:after="44" w:line="259" w:lineRule="auto"/>
        <w:jc w:val="center"/>
        <w:rPr>
          <w:b/>
          <w:sz w:val="56"/>
          <w:szCs w:val="56"/>
        </w:rPr>
      </w:pPr>
    </w:p>
    <w:p w14:paraId="5234CAB9" w14:textId="76A814FD" w:rsidR="00620527" w:rsidRPr="002542E7" w:rsidRDefault="00620527" w:rsidP="000908AC">
      <w:pPr>
        <w:spacing w:after="44" w:line="259" w:lineRule="auto"/>
        <w:jc w:val="center"/>
        <w:rPr>
          <w:sz w:val="56"/>
          <w:szCs w:val="56"/>
        </w:rPr>
      </w:pPr>
      <w:r w:rsidRPr="002542E7">
        <w:rPr>
          <w:b/>
          <w:sz w:val="56"/>
          <w:szCs w:val="56"/>
        </w:rPr>
        <w:t xml:space="preserve">Comune di </w:t>
      </w:r>
      <w:r w:rsidR="000908AC">
        <w:rPr>
          <w:b/>
          <w:sz w:val="56"/>
          <w:szCs w:val="56"/>
        </w:rPr>
        <w:t>VALGANNA</w:t>
      </w:r>
    </w:p>
    <w:p w14:paraId="4E5204DB" w14:textId="6C067656" w:rsidR="00620527" w:rsidRDefault="00620527" w:rsidP="00620527">
      <w:pPr>
        <w:spacing w:after="35" w:line="259" w:lineRule="auto"/>
        <w:ind w:right="2"/>
        <w:jc w:val="center"/>
      </w:pPr>
      <w:r>
        <w:rPr>
          <w:b/>
          <w:sz w:val="36"/>
        </w:rPr>
        <w:t>Provincia di</w:t>
      </w:r>
      <w:r w:rsidR="003647D4">
        <w:rPr>
          <w:b/>
          <w:sz w:val="36"/>
        </w:rPr>
        <w:t xml:space="preserve"> Varese</w:t>
      </w:r>
    </w:p>
    <w:p w14:paraId="3B9123BE" w14:textId="77777777" w:rsidR="00620527" w:rsidRDefault="00620527" w:rsidP="00620527">
      <w:pPr>
        <w:spacing w:after="324" w:line="259" w:lineRule="auto"/>
        <w:ind w:left="59" w:right="0" w:firstLine="0"/>
        <w:jc w:val="center"/>
      </w:pPr>
      <w:r>
        <w:t xml:space="preserve"> </w:t>
      </w:r>
    </w:p>
    <w:p w14:paraId="513237B8" w14:textId="77777777" w:rsidR="005D1152" w:rsidRDefault="005D1152" w:rsidP="00620527">
      <w:pPr>
        <w:spacing w:after="324" w:line="259" w:lineRule="auto"/>
        <w:ind w:left="59" w:right="0" w:firstLine="0"/>
        <w:jc w:val="center"/>
      </w:pPr>
    </w:p>
    <w:p w14:paraId="4A15163A" w14:textId="77777777" w:rsidR="00620527" w:rsidRDefault="00620527" w:rsidP="00620527">
      <w:pPr>
        <w:spacing w:after="0" w:line="267" w:lineRule="auto"/>
        <w:ind w:right="0"/>
        <w:jc w:val="center"/>
      </w:pPr>
      <w:r>
        <w:rPr>
          <w:b/>
          <w:sz w:val="44"/>
        </w:rPr>
        <w:t xml:space="preserve">PIANO INTEGRATO DI ATTIVITA’ E ORGANIZZAZIONE 2022 – 2024 </w:t>
      </w:r>
    </w:p>
    <w:p w14:paraId="26027F9F" w14:textId="77777777" w:rsidR="00620527" w:rsidRDefault="00620527" w:rsidP="00620527">
      <w:pPr>
        <w:spacing w:after="16" w:line="259" w:lineRule="auto"/>
        <w:ind w:right="180"/>
        <w:jc w:val="right"/>
      </w:pPr>
      <w:r>
        <w:rPr>
          <w:i/>
        </w:rPr>
        <w:t xml:space="preserve">(art. 6, commi da 1 a 4, del decreto legge 9 giugno 2021, n. 80, convertito, con modificazioni, in </w:t>
      </w:r>
    </w:p>
    <w:p w14:paraId="48E6B45A" w14:textId="77777777" w:rsidR="00620527" w:rsidRDefault="00620527" w:rsidP="00620527">
      <w:pPr>
        <w:spacing w:after="324" w:line="259" w:lineRule="auto"/>
        <w:jc w:val="center"/>
      </w:pPr>
      <w:r>
        <w:rPr>
          <w:i/>
        </w:rPr>
        <w:t xml:space="preserve">legge 6 agosto 2021, n. 113) </w:t>
      </w:r>
    </w:p>
    <w:p w14:paraId="55A1C65F" w14:textId="77777777" w:rsidR="00620527" w:rsidRDefault="00620527" w:rsidP="00620527">
      <w:pPr>
        <w:spacing w:after="153" w:line="259" w:lineRule="auto"/>
        <w:ind w:left="109" w:right="0" w:firstLine="0"/>
        <w:jc w:val="center"/>
      </w:pPr>
      <w:r>
        <w:rPr>
          <w:b/>
          <w:sz w:val="44"/>
        </w:rPr>
        <w:t xml:space="preserve"> </w:t>
      </w:r>
    </w:p>
    <w:p w14:paraId="3A441702" w14:textId="77777777" w:rsidR="00620527" w:rsidRDefault="00620527" w:rsidP="00620527">
      <w:pPr>
        <w:spacing w:after="0" w:line="259" w:lineRule="auto"/>
        <w:ind w:left="0" w:right="0" w:firstLine="0"/>
        <w:jc w:val="left"/>
      </w:pPr>
      <w:r>
        <w:rPr>
          <w:b/>
          <w:sz w:val="44"/>
        </w:rPr>
        <w:t xml:space="preserve"> </w:t>
      </w:r>
      <w:r>
        <w:rPr>
          <w:b/>
          <w:sz w:val="44"/>
        </w:rPr>
        <w:tab/>
        <w:t xml:space="preserve"> </w:t>
      </w:r>
    </w:p>
    <w:p w14:paraId="6133822A" w14:textId="77777777" w:rsidR="00620527" w:rsidRPr="002542E7" w:rsidRDefault="00620527" w:rsidP="00620527">
      <w:pPr>
        <w:spacing w:after="56" w:line="266" w:lineRule="auto"/>
        <w:ind w:left="-5" w:right="0"/>
        <w:jc w:val="left"/>
        <w:rPr>
          <w:sz w:val="28"/>
          <w:szCs w:val="28"/>
        </w:rPr>
      </w:pPr>
      <w:r w:rsidRPr="002542E7">
        <w:rPr>
          <w:b/>
          <w:sz w:val="28"/>
          <w:szCs w:val="28"/>
        </w:rPr>
        <w:t xml:space="preserve">Indice </w:t>
      </w:r>
    </w:p>
    <w:p w14:paraId="10156851" w14:textId="4EF6AF76" w:rsidR="00620527" w:rsidRPr="002542E7" w:rsidRDefault="00620527" w:rsidP="00620527">
      <w:pPr>
        <w:spacing w:after="125" w:line="266" w:lineRule="auto"/>
        <w:ind w:left="-5" w:right="0"/>
        <w:jc w:val="left"/>
        <w:rPr>
          <w:sz w:val="28"/>
          <w:szCs w:val="28"/>
        </w:rPr>
      </w:pPr>
      <w:r w:rsidRPr="002542E7">
        <w:rPr>
          <w:b/>
          <w:sz w:val="28"/>
          <w:szCs w:val="28"/>
        </w:rPr>
        <w:t xml:space="preserve">Premessa </w:t>
      </w:r>
    </w:p>
    <w:p w14:paraId="204FA3D9" w14:textId="68B62332" w:rsidR="00620527" w:rsidRPr="002542E7" w:rsidRDefault="00620527" w:rsidP="00620527">
      <w:pPr>
        <w:spacing w:after="125" w:line="266" w:lineRule="auto"/>
        <w:ind w:left="-5" w:right="0"/>
        <w:jc w:val="left"/>
        <w:rPr>
          <w:sz w:val="28"/>
          <w:szCs w:val="28"/>
        </w:rPr>
      </w:pPr>
      <w:r w:rsidRPr="002542E7">
        <w:rPr>
          <w:b/>
          <w:sz w:val="28"/>
          <w:szCs w:val="28"/>
        </w:rPr>
        <w:t xml:space="preserve">Riferimenti normativi </w:t>
      </w:r>
    </w:p>
    <w:p w14:paraId="2A4D8D0E" w14:textId="2E71337F" w:rsidR="00620527" w:rsidRPr="002542E7" w:rsidRDefault="00620527" w:rsidP="00620527">
      <w:pPr>
        <w:spacing w:after="125" w:line="266" w:lineRule="auto"/>
        <w:ind w:left="-5" w:right="0"/>
        <w:jc w:val="left"/>
        <w:rPr>
          <w:sz w:val="28"/>
          <w:szCs w:val="28"/>
        </w:rPr>
      </w:pPr>
      <w:r w:rsidRPr="002542E7">
        <w:rPr>
          <w:b/>
          <w:sz w:val="28"/>
          <w:szCs w:val="28"/>
        </w:rPr>
        <w:t xml:space="preserve">Piano Integrato di attività e Organizzazione 2022-2024 </w:t>
      </w:r>
    </w:p>
    <w:p w14:paraId="7C292806" w14:textId="77777777" w:rsidR="00620527" w:rsidRDefault="00620527" w:rsidP="00620527">
      <w:pPr>
        <w:spacing w:after="136" w:line="259" w:lineRule="auto"/>
        <w:ind w:left="0" w:right="0" w:firstLine="0"/>
        <w:jc w:val="left"/>
      </w:pPr>
      <w:r>
        <w:t xml:space="preserve"> </w:t>
      </w:r>
    </w:p>
    <w:p w14:paraId="51F17B7E" w14:textId="77777777" w:rsidR="00620527" w:rsidRDefault="00620527" w:rsidP="00620527">
      <w:pPr>
        <w:spacing w:after="0" w:line="259" w:lineRule="auto"/>
        <w:ind w:left="0" w:right="0" w:firstLine="0"/>
        <w:jc w:val="left"/>
      </w:pPr>
      <w:r>
        <w:t xml:space="preserve"> </w:t>
      </w:r>
      <w:r>
        <w:tab/>
        <w:t xml:space="preserve"> </w:t>
      </w:r>
      <w:r>
        <w:br w:type="page"/>
      </w:r>
    </w:p>
    <w:p w14:paraId="381B80CB" w14:textId="77777777" w:rsidR="00620527" w:rsidRPr="005D1152" w:rsidRDefault="00620527" w:rsidP="005D1152">
      <w:pPr>
        <w:spacing w:after="0" w:line="240" w:lineRule="auto"/>
        <w:ind w:left="0" w:right="0"/>
        <w:jc w:val="left"/>
        <w:rPr>
          <w:rFonts w:ascii="Garamond" w:hAnsi="Garamond" w:cs="Arial"/>
          <w:szCs w:val="24"/>
        </w:rPr>
      </w:pPr>
      <w:r w:rsidRPr="005D1152">
        <w:rPr>
          <w:rFonts w:ascii="Garamond" w:hAnsi="Garamond" w:cs="Arial"/>
          <w:b/>
          <w:szCs w:val="24"/>
        </w:rPr>
        <w:lastRenderedPageBreak/>
        <w:t xml:space="preserve">Premessa </w:t>
      </w:r>
    </w:p>
    <w:p w14:paraId="1228B46E" w14:textId="77777777" w:rsidR="00620527" w:rsidRPr="005D1152" w:rsidRDefault="00620527" w:rsidP="005D1152">
      <w:pPr>
        <w:spacing w:after="0" w:line="240" w:lineRule="auto"/>
        <w:ind w:left="0" w:right="0" w:firstLine="708"/>
        <w:rPr>
          <w:rFonts w:ascii="Garamond" w:hAnsi="Garamond" w:cs="Arial"/>
          <w:szCs w:val="24"/>
        </w:rPr>
      </w:pPr>
      <w:r w:rsidRPr="005D1152">
        <w:rPr>
          <w:rFonts w:ascii="Garamond" w:hAnsi="Garamond" w:cs="Arial"/>
          <w:szCs w:val="24"/>
        </w:rPr>
        <w:t xml:space="preserve">Le finalità del PIAO sono: </w:t>
      </w:r>
    </w:p>
    <w:p w14:paraId="3E9E9AC8" w14:textId="77777777" w:rsidR="00620527" w:rsidRPr="005D1152" w:rsidRDefault="00620527" w:rsidP="005D1152">
      <w:pPr>
        <w:numPr>
          <w:ilvl w:val="0"/>
          <w:numId w:val="1"/>
        </w:numPr>
        <w:spacing w:after="0" w:line="240" w:lineRule="auto"/>
        <w:ind w:left="0" w:right="0" w:firstLine="0"/>
        <w:rPr>
          <w:rFonts w:ascii="Garamond" w:hAnsi="Garamond" w:cs="Arial"/>
          <w:szCs w:val="24"/>
        </w:rPr>
      </w:pPr>
      <w:r w:rsidRPr="005D1152">
        <w:rPr>
          <w:rFonts w:ascii="Garamond" w:hAnsi="Garamond" w:cs="Arial"/>
          <w:szCs w:val="24"/>
        </w:rPr>
        <w:t xml:space="preserve">consentire un maggior coordinamento dell’attività programmatoria delle pubbliche amministrazioni e una sua semplificazione; </w:t>
      </w:r>
    </w:p>
    <w:p w14:paraId="65A4B4AF" w14:textId="77777777" w:rsidR="00620527" w:rsidRPr="005D1152" w:rsidRDefault="00620527" w:rsidP="005D1152">
      <w:pPr>
        <w:numPr>
          <w:ilvl w:val="0"/>
          <w:numId w:val="1"/>
        </w:numPr>
        <w:spacing w:after="0" w:line="240" w:lineRule="auto"/>
        <w:ind w:left="0" w:right="0" w:firstLine="0"/>
        <w:rPr>
          <w:rFonts w:ascii="Garamond" w:hAnsi="Garamond" w:cs="Arial"/>
          <w:szCs w:val="24"/>
        </w:rPr>
      </w:pPr>
      <w:r w:rsidRPr="005D1152">
        <w:rPr>
          <w:rFonts w:ascii="Garamond" w:hAnsi="Garamond" w:cs="Arial"/>
          <w:szCs w:val="24"/>
        </w:rPr>
        <w:t xml:space="preserve">assicurare una migliore qualità e trasparenza dell’attività amministrativa e dei servizi ai cittadini e alle imprese. </w:t>
      </w:r>
    </w:p>
    <w:p w14:paraId="7AB48918" w14:textId="77777777" w:rsidR="00620527" w:rsidRPr="005D1152" w:rsidRDefault="00620527" w:rsidP="005D1152">
      <w:pPr>
        <w:spacing w:after="0" w:line="240" w:lineRule="auto"/>
        <w:ind w:left="0" w:right="0" w:firstLine="708"/>
        <w:rPr>
          <w:rFonts w:ascii="Garamond" w:hAnsi="Garamond" w:cs="Arial"/>
          <w:szCs w:val="24"/>
        </w:rPr>
      </w:pPr>
      <w:r w:rsidRPr="005D1152">
        <w:rPr>
          <w:rFonts w:ascii="Garamond" w:hAnsi="Garamond" w:cs="Arial"/>
          <w:szCs w:val="24"/>
        </w:rPr>
        <w:t xml:space="preserve">In esso, gli obiettivi, le azioni e le attività dell’Ente sono ricondotti alle finalità istituzionali e alla mission pubblica complessiva di soddisfacimento dei bisogni della collettività e dei territori. </w:t>
      </w:r>
    </w:p>
    <w:p w14:paraId="7AFC50A8" w14:textId="77777777" w:rsidR="00620527" w:rsidRPr="005D1152" w:rsidRDefault="00620527" w:rsidP="005D1152">
      <w:pPr>
        <w:spacing w:after="0" w:line="240" w:lineRule="auto"/>
        <w:ind w:left="0" w:right="0" w:firstLine="708"/>
        <w:rPr>
          <w:rFonts w:ascii="Garamond" w:hAnsi="Garamond" w:cs="Arial"/>
          <w:szCs w:val="24"/>
        </w:rPr>
      </w:pPr>
      <w:r w:rsidRPr="005D1152">
        <w:rPr>
          <w:rFonts w:ascii="Garamond" w:hAnsi="Garamond" w:cs="Arial"/>
          <w:szCs w:val="24"/>
        </w:rPr>
        <w:t xml:space="preserve">Si tratta quindi di uno strumento dotato, da un lato, di rilevante valenza strategica e, dall’altro, di un forte valore comunicativo, attraverso il quale l’Ente pubblico comunica alla collettività gli obiettivi e le azioni mediante le quali vengono esercitate le funzioni pubbliche e i risultati che si vogliono ottenere rispetto alle esigenze di valore pubblico da soddisfare. </w:t>
      </w:r>
    </w:p>
    <w:p w14:paraId="3CAF2F73" w14:textId="77777777" w:rsidR="00620527" w:rsidRPr="005D1152" w:rsidRDefault="00620527" w:rsidP="005D1152">
      <w:pPr>
        <w:spacing w:after="0" w:line="240" w:lineRule="auto"/>
        <w:ind w:left="0" w:right="0" w:firstLine="708"/>
        <w:rPr>
          <w:rFonts w:ascii="Garamond" w:hAnsi="Garamond" w:cs="Arial"/>
          <w:szCs w:val="24"/>
        </w:rPr>
      </w:pPr>
      <w:r w:rsidRPr="005D1152">
        <w:rPr>
          <w:rFonts w:ascii="Garamond" w:hAnsi="Garamond" w:cs="Arial"/>
          <w:szCs w:val="24"/>
        </w:rPr>
        <w:t xml:space="preserve">Per il 2022 il documento ha necessariamente un carattere sperimentale: nel corso del corrente anno proseguirà il percorso di integrazione in vista dell’adozione del PIAO 2023-2025. </w:t>
      </w:r>
    </w:p>
    <w:p w14:paraId="27BC1057" w14:textId="77777777" w:rsidR="00620527" w:rsidRPr="005D1152" w:rsidRDefault="00620527" w:rsidP="005D1152">
      <w:pPr>
        <w:spacing w:after="0" w:line="240" w:lineRule="auto"/>
        <w:ind w:left="0" w:right="0"/>
        <w:jc w:val="left"/>
        <w:rPr>
          <w:rFonts w:ascii="Garamond" w:hAnsi="Garamond" w:cs="Arial"/>
          <w:szCs w:val="24"/>
        </w:rPr>
      </w:pPr>
      <w:r w:rsidRPr="005D1152">
        <w:rPr>
          <w:rFonts w:ascii="Garamond" w:hAnsi="Garamond" w:cs="Arial"/>
          <w:b/>
          <w:szCs w:val="24"/>
        </w:rPr>
        <w:t xml:space="preserve">Riferimenti normativi </w:t>
      </w:r>
    </w:p>
    <w:p w14:paraId="74CBB0F8" w14:textId="77777777" w:rsidR="00620527" w:rsidRPr="005D1152" w:rsidRDefault="00620527" w:rsidP="005D1152">
      <w:pPr>
        <w:spacing w:after="0" w:line="240" w:lineRule="auto"/>
        <w:ind w:left="0" w:right="0" w:firstLine="708"/>
        <w:rPr>
          <w:rFonts w:ascii="Garamond" w:hAnsi="Garamond" w:cs="Arial"/>
          <w:szCs w:val="24"/>
        </w:rPr>
      </w:pPr>
      <w:r w:rsidRPr="005D1152">
        <w:rPr>
          <w:rFonts w:ascii="Garamond" w:hAnsi="Garamond" w:cs="Arial"/>
          <w:szCs w:val="24"/>
        </w:rPr>
        <w:t xml:space="preserve">L’art. 6, commi da 1 a 4, del decreto legge 9 giugno 2021, n. 80, convertito, con modificazioni, in legge 6 agosto 2021, n. 113, ha introdotto nel nostro ordinamento il Piano Integrato di attività e organizzazione (PIAO), che assorbe una serie di piani e programmi già previsti dalla normativa - in particolare: il Piano della performance, il Piano Triennale per la Prevenzione della Corruzione e per la Trasparenza, il Piano organizzativo del lavoro agile e il Piano triennale dei fabbisogni del personale - quale misura di semplificazione e ottimizzazione della programmazione pubblica nell’ambito del processo di rafforzamento della capacità amministrativa delle PP.AA. funzionale all’attuazione del PNRR. </w:t>
      </w:r>
    </w:p>
    <w:p w14:paraId="4551125B" w14:textId="77777777" w:rsidR="00620527" w:rsidRPr="005D1152" w:rsidRDefault="00620527" w:rsidP="005D1152">
      <w:pPr>
        <w:spacing w:after="0" w:line="240" w:lineRule="auto"/>
        <w:ind w:left="0" w:right="0" w:firstLine="708"/>
        <w:rPr>
          <w:rFonts w:ascii="Garamond" w:hAnsi="Garamond" w:cs="Arial"/>
          <w:szCs w:val="24"/>
        </w:rPr>
      </w:pPr>
      <w:r w:rsidRPr="005D1152">
        <w:rPr>
          <w:rFonts w:ascii="Garamond" w:hAnsi="Garamond" w:cs="Arial"/>
          <w:szCs w:val="24"/>
        </w:rPr>
        <w:t xml:space="preserve">Il Piano Integrato di Attività e Organizzazione viene redatto nel rispetto del quadro normativo di riferimento relativo alla Performance (decreto legislativo n. 150 del 2009 e le Linee Guida emanate dal Dipartimento della Funzione Pubblica) ai Rischi corruttivi e trasparenza (Piano nazionale anticorruzione (PNA) e negli atti di regolazione generali adottati dall’ANAC ai sensi della legge n. 190 del 2012 e del decreto legislativo n. 33 del 2013) e di tutte le ulteriori specifiche normative di riferimento delle altre materie, dallo stesso assorbite, nonché sulla base del “Piano tipo”, di cui al Decreto del Ministro per la Pubblica Amministrazione del 30 giugno 2022, concernente la definizione del contenuto del Piano Integrato di Attività e Organizzazione. </w:t>
      </w:r>
    </w:p>
    <w:p w14:paraId="5239F510" w14:textId="77777777" w:rsidR="00620527" w:rsidRPr="005D1152" w:rsidRDefault="00620527" w:rsidP="005D1152">
      <w:pPr>
        <w:spacing w:after="0" w:line="240" w:lineRule="auto"/>
        <w:ind w:left="0" w:right="0" w:firstLine="708"/>
        <w:rPr>
          <w:rFonts w:ascii="Garamond" w:hAnsi="Garamond" w:cs="Arial"/>
          <w:szCs w:val="24"/>
        </w:rPr>
      </w:pPr>
      <w:r w:rsidRPr="005D1152">
        <w:rPr>
          <w:rFonts w:ascii="Garamond" w:hAnsi="Garamond" w:cs="Arial"/>
          <w:szCs w:val="24"/>
        </w:rPr>
        <w:t xml:space="preserve">Ai sensi dell’art. 6, comma 6-bis, del decreto legge 9 giugno 2021, n. 80, convertito, con modificazioni, in legge 6 agosto 2021, n. 113, come introdotto dall’art. 1, comma 12, del decreto legge 30 dicembre 2021, n. 228, convertito con modificazioni dalla legge n. 25 febbraio 2022, n. 15 e successivamente modificato dall’art. 7, comma 1 del decreto legge 30 aprile 2022, n. 36, convertito con modificazioni, in legge 29 giugno 2022, n. 79, la data di scadenza per l’approvazione del PIAO in fase di prima applicazione è stata fissata al 30 giugno 2022. </w:t>
      </w:r>
    </w:p>
    <w:p w14:paraId="147B5602" w14:textId="77777777" w:rsidR="00620527" w:rsidRPr="005D1152" w:rsidRDefault="00620527" w:rsidP="005D1152">
      <w:pPr>
        <w:spacing w:after="0" w:line="240" w:lineRule="auto"/>
        <w:ind w:left="0" w:right="0" w:firstLine="708"/>
        <w:rPr>
          <w:rFonts w:ascii="Garamond" w:hAnsi="Garamond" w:cs="Arial"/>
          <w:szCs w:val="24"/>
        </w:rPr>
      </w:pPr>
      <w:r w:rsidRPr="005D1152">
        <w:rPr>
          <w:rFonts w:ascii="Garamond" w:hAnsi="Garamond" w:cs="Arial"/>
          <w:szCs w:val="24"/>
        </w:rPr>
        <w:t xml:space="preserve">Ai sensi dell’art. 6 del Decreto del Ministro per la Pubblica Amministrazione del 30 giugno 2022 concernente la definizione del contenuto del Piano Integrato di Attività e Organizzazione, le amministrazioni tenute all’adozione del PIAO con meno di 50 dipendenti, procedono alle attività di cui all’articolo 3, comma 1, lettera c), n. 3), per la mappatura dei processi, limitandosi all’aggiornamento di quella esistente all’entrata in vigore del presente decreto considerando, ai sensi dell’articolo 1, comma 16, della legge n. 190 del 2012, quali aree a rischio corruttivo, quelle relative a: </w:t>
      </w:r>
    </w:p>
    <w:p w14:paraId="5A9F537B" w14:textId="77777777" w:rsidR="00620527" w:rsidRPr="005D1152" w:rsidRDefault="00620527" w:rsidP="005D1152">
      <w:pPr>
        <w:numPr>
          <w:ilvl w:val="0"/>
          <w:numId w:val="2"/>
        </w:numPr>
        <w:spacing w:after="0" w:line="240" w:lineRule="auto"/>
        <w:ind w:left="0" w:right="0" w:firstLine="0"/>
        <w:rPr>
          <w:rFonts w:ascii="Garamond" w:hAnsi="Garamond" w:cs="Arial"/>
          <w:szCs w:val="24"/>
        </w:rPr>
      </w:pPr>
      <w:r w:rsidRPr="005D1152">
        <w:rPr>
          <w:rFonts w:ascii="Garamond" w:hAnsi="Garamond" w:cs="Arial"/>
          <w:szCs w:val="24"/>
        </w:rPr>
        <w:t xml:space="preserve">autorizzazione/concessione; </w:t>
      </w:r>
    </w:p>
    <w:p w14:paraId="2D527DD6" w14:textId="77777777" w:rsidR="00620527" w:rsidRPr="005D1152" w:rsidRDefault="00620527" w:rsidP="005D1152">
      <w:pPr>
        <w:numPr>
          <w:ilvl w:val="0"/>
          <w:numId w:val="2"/>
        </w:numPr>
        <w:spacing w:after="0" w:line="240" w:lineRule="auto"/>
        <w:ind w:left="0" w:right="0" w:firstLine="0"/>
        <w:rPr>
          <w:rFonts w:ascii="Garamond" w:hAnsi="Garamond" w:cs="Arial"/>
          <w:szCs w:val="24"/>
        </w:rPr>
      </w:pPr>
      <w:r w:rsidRPr="005D1152">
        <w:rPr>
          <w:rFonts w:ascii="Garamond" w:hAnsi="Garamond" w:cs="Arial"/>
          <w:szCs w:val="24"/>
        </w:rPr>
        <w:t xml:space="preserve">contratti pubblici; </w:t>
      </w:r>
    </w:p>
    <w:p w14:paraId="50B240A6" w14:textId="77777777" w:rsidR="00620527" w:rsidRPr="005D1152" w:rsidRDefault="00620527" w:rsidP="005D1152">
      <w:pPr>
        <w:numPr>
          <w:ilvl w:val="0"/>
          <w:numId w:val="2"/>
        </w:numPr>
        <w:spacing w:after="0" w:line="240" w:lineRule="auto"/>
        <w:ind w:left="0" w:right="0" w:firstLine="0"/>
        <w:rPr>
          <w:rFonts w:ascii="Garamond" w:hAnsi="Garamond" w:cs="Arial"/>
          <w:szCs w:val="24"/>
        </w:rPr>
      </w:pPr>
      <w:r w:rsidRPr="005D1152">
        <w:rPr>
          <w:rFonts w:ascii="Garamond" w:hAnsi="Garamond" w:cs="Arial"/>
          <w:szCs w:val="24"/>
        </w:rPr>
        <w:t xml:space="preserve">concessione ed erogazione di sovvenzioni, contributi; </w:t>
      </w:r>
    </w:p>
    <w:p w14:paraId="61670C33" w14:textId="77777777" w:rsidR="00620527" w:rsidRPr="005D1152" w:rsidRDefault="00620527" w:rsidP="005D1152">
      <w:pPr>
        <w:numPr>
          <w:ilvl w:val="0"/>
          <w:numId w:val="2"/>
        </w:numPr>
        <w:spacing w:after="0" w:line="240" w:lineRule="auto"/>
        <w:ind w:left="0" w:right="0" w:firstLine="0"/>
        <w:rPr>
          <w:rFonts w:ascii="Garamond" w:hAnsi="Garamond" w:cs="Arial"/>
          <w:szCs w:val="24"/>
        </w:rPr>
      </w:pPr>
      <w:r w:rsidRPr="005D1152">
        <w:rPr>
          <w:rFonts w:ascii="Garamond" w:hAnsi="Garamond" w:cs="Arial"/>
          <w:szCs w:val="24"/>
        </w:rPr>
        <w:t xml:space="preserve">concorsi e prove selettive; </w:t>
      </w:r>
    </w:p>
    <w:p w14:paraId="494BEFF2" w14:textId="77777777" w:rsidR="00620527" w:rsidRPr="005D1152" w:rsidRDefault="00620527" w:rsidP="005D1152">
      <w:pPr>
        <w:numPr>
          <w:ilvl w:val="0"/>
          <w:numId w:val="2"/>
        </w:numPr>
        <w:spacing w:after="0" w:line="240" w:lineRule="auto"/>
        <w:ind w:left="0" w:right="0" w:firstLine="0"/>
        <w:rPr>
          <w:rFonts w:ascii="Garamond" w:hAnsi="Garamond" w:cs="Arial"/>
          <w:szCs w:val="24"/>
        </w:rPr>
      </w:pPr>
      <w:r w:rsidRPr="005D1152">
        <w:rPr>
          <w:rFonts w:ascii="Garamond" w:hAnsi="Garamond" w:cs="Arial"/>
          <w:szCs w:val="24"/>
        </w:rPr>
        <w:t xml:space="preserve">processi, individuati dal Responsabile della Prevenzione della Corruzione e della Trasparenza (RPCT) e dai responsabili degli uffici, ritenuti di maggiore rilievo per il raggiungimento degli obiettivi di performance a protezione del valore pubblico. </w:t>
      </w:r>
    </w:p>
    <w:p w14:paraId="0140F494" w14:textId="77777777" w:rsidR="00620527" w:rsidRPr="005D1152" w:rsidRDefault="00620527" w:rsidP="005D1152">
      <w:pPr>
        <w:spacing w:after="0" w:line="240" w:lineRule="auto"/>
        <w:ind w:left="0" w:right="0" w:firstLine="708"/>
        <w:rPr>
          <w:rFonts w:ascii="Garamond" w:hAnsi="Garamond" w:cs="Arial"/>
          <w:szCs w:val="24"/>
        </w:rPr>
      </w:pPr>
      <w:r w:rsidRPr="005D1152">
        <w:rPr>
          <w:rFonts w:ascii="Garamond" w:hAnsi="Garamond" w:cs="Arial"/>
          <w:szCs w:val="24"/>
        </w:rPr>
        <w:t xml:space="preserve">L’aggiornamento nel triennio di vigenza della sottosezione di programmazione “Rischi corruttivi e trasparenza” avviene in presenza di fatti corruttivi, modifiche organizzative rilevanti o </w:t>
      </w:r>
      <w:r w:rsidRPr="005D1152">
        <w:rPr>
          <w:rFonts w:ascii="Garamond" w:hAnsi="Garamond" w:cs="Arial"/>
          <w:szCs w:val="24"/>
        </w:rPr>
        <w:lastRenderedPageBreak/>
        <w:t xml:space="preserve">ipotesi di disfunzioni amministrative significative intercorse ovvero di aggiornamenti o modifiche degli obiettivi di performance a protezione del valore pubblico. Scaduto il triennio di validità il Piano è modificato sulla base delle risultanze dei monitoraggi effettuati nel triennio. </w:t>
      </w:r>
    </w:p>
    <w:p w14:paraId="33F38731" w14:textId="77777777" w:rsidR="00620527" w:rsidRPr="005D1152" w:rsidRDefault="00620527" w:rsidP="005D1152">
      <w:pPr>
        <w:spacing w:after="0" w:line="240" w:lineRule="auto"/>
        <w:ind w:left="0" w:right="0" w:firstLine="708"/>
        <w:rPr>
          <w:rFonts w:ascii="Garamond" w:hAnsi="Garamond" w:cs="Arial"/>
          <w:szCs w:val="24"/>
        </w:rPr>
      </w:pPr>
      <w:r w:rsidRPr="005D1152">
        <w:rPr>
          <w:rFonts w:ascii="Garamond" w:hAnsi="Garamond" w:cs="Arial"/>
          <w:szCs w:val="24"/>
        </w:rPr>
        <w:t xml:space="preserve">Le amministrazioni con meno di 50 dipendenti sono tenute, altresì, alla predisposizione del Piano integrato di attività e organizzazione limitatamente all’articolo 4, comma 1, lettere a), b) e c), n. 2. </w:t>
      </w:r>
    </w:p>
    <w:p w14:paraId="209629D6" w14:textId="77777777" w:rsidR="00620527" w:rsidRPr="005D1152" w:rsidRDefault="00620527" w:rsidP="005D1152">
      <w:pPr>
        <w:spacing w:after="0" w:line="240" w:lineRule="auto"/>
        <w:ind w:left="0" w:right="0" w:firstLine="708"/>
        <w:rPr>
          <w:rFonts w:ascii="Garamond" w:hAnsi="Garamond" w:cs="Arial"/>
          <w:szCs w:val="24"/>
        </w:rPr>
      </w:pPr>
      <w:r w:rsidRPr="005D1152">
        <w:rPr>
          <w:rFonts w:ascii="Garamond" w:hAnsi="Garamond" w:cs="Arial"/>
          <w:szCs w:val="24"/>
        </w:rPr>
        <w:t xml:space="preserve">Le pubbliche amministrazioni con meno di 50 dipendenti procedono esclusivamente alle attività di cui all’art. 6 Decreto del Ministro per la Pubblica Amministrazione del 30 giugno 2022 concernente la definizione del contenuto del Piano Integrato di Attività e Organizzazione. </w:t>
      </w:r>
    </w:p>
    <w:p w14:paraId="675842E8" w14:textId="13426113" w:rsidR="00483CEB" w:rsidRPr="005D1152" w:rsidRDefault="00483CEB" w:rsidP="005D1152">
      <w:pPr>
        <w:pStyle w:val="NormaleWeb"/>
        <w:shd w:val="clear" w:color="auto" w:fill="FFFFFF"/>
        <w:spacing w:before="0" w:beforeAutospacing="0" w:after="0" w:afterAutospacing="0"/>
        <w:ind w:firstLine="708"/>
        <w:jc w:val="both"/>
        <w:rPr>
          <w:rFonts w:ascii="Garamond" w:hAnsi="Garamond" w:cs="Arial"/>
        </w:rPr>
      </w:pPr>
      <w:r w:rsidRPr="005D1152">
        <w:rPr>
          <w:rFonts w:ascii="Garamond" w:hAnsi="Garamond" w:cs="Arial"/>
        </w:rPr>
        <w:t>Con</w:t>
      </w:r>
      <w:r w:rsidR="005D1152">
        <w:rPr>
          <w:rFonts w:ascii="Garamond" w:hAnsi="Garamond" w:cs="Arial"/>
        </w:rPr>
        <w:t xml:space="preserve"> </w:t>
      </w:r>
      <w:hyperlink r:id="rId5" w:history="1">
        <w:r w:rsidRPr="005D1152">
          <w:rPr>
            <w:rStyle w:val="Collegamentoipertestuale"/>
            <w:rFonts w:ascii="Garamond" w:hAnsi="Garamond" w:cs="Arial"/>
            <w:color w:val="auto"/>
          </w:rPr>
          <w:t>Decreto del 28 luglio 2022</w:t>
        </w:r>
      </w:hyperlink>
      <w:r w:rsidRPr="005D1152">
        <w:rPr>
          <w:rFonts w:ascii="Garamond" w:hAnsi="Garamond" w:cs="Arial"/>
        </w:rPr>
        <w:t> il Ministro dell'Interno ha disposto l'ulteriore differimento del termine per la deliberazione del bilancio di previsione 2022/2024 da parte degli enti locali al 31 agosto 2022.</w:t>
      </w:r>
    </w:p>
    <w:p w14:paraId="400BBCC3" w14:textId="0BCFCD35" w:rsidR="00483CEB" w:rsidRPr="005D1152" w:rsidRDefault="00483CEB" w:rsidP="005D1152">
      <w:pPr>
        <w:pStyle w:val="NormaleWeb"/>
        <w:shd w:val="clear" w:color="auto" w:fill="FFFFFF"/>
        <w:spacing w:before="0" w:beforeAutospacing="0" w:after="0" w:afterAutospacing="0"/>
        <w:ind w:firstLine="708"/>
        <w:jc w:val="both"/>
        <w:rPr>
          <w:rFonts w:ascii="Garamond" w:hAnsi="Garamond" w:cs="Arial"/>
        </w:rPr>
      </w:pPr>
      <w:r w:rsidRPr="005D1152">
        <w:rPr>
          <w:rFonts w:ascii="Garamond" w:hAnsi="Garamond" w:cs="Arial"/>
        </w:rPr>
        <w:t>Con la proroga del termine per l’approvazione del bilancio, si spostano automaticamente in avanti anche i termini per deliberare le tariffe TARI e adeguare le addizionali IRPEF ai nuovi scaglioni.</w:t>
      </w:r>
    </w:p>
    <w:p w14:paraId="1D554FB2" w14:textId="77777777" w:rsidR="00483CEB" w:rsidRPr="005D1152" w:rsidRDefault="00483CEB" w:rsidP="005D1152">
      <w:pPr>
        <w:pStyle w:val="NormaleWeb"/>
        <w:shd w:val="clear" w:color="auto" w:fill="FFFFFF"/>
        <w:spacing w:before="0" w:beforeAutospacing="0" w:after="0" w:afterAutospacing="0"/>
        <w:ind w:firstLine="708"/>
        <w:jc w:val="both"/>
        <w:rPr>
          <w:rFonts w:ascii="Garamond" w:hAnsi="Garamond" w:cs="Arial"/>
        </w:rPr>
      </w:pPr>
      <w:r w:rsidRPr="005D1152">
        <w:rPr>
          <w:rFonts w:ascii="Garamond" w:hAnsi="Garamond" w:cs="Arial"/>
        </w:rPr>
        <w:t>Ulteriore effetto della proroga del termine per l’approvazione del bilancio di previsione è lo slittamento al 31 dicembre p.v. (120 giorni successivi) del termine per l’approvazione del PIAO, in base </w:t>
      </w:r>
      <w:hyperlink r:id="rId6" w:history="1">
        <w:r w:rsidRPr="005D1152">
          <w:rPr>
            <w:rStyle w:val="Collegamentoipertestuale"/>
            <w:rFonts w:ascii="Garamond" w:hAnsi="Garamond" w:cs="Arial"/>
            <w:color w:val="auto"/>
          </w:rPr>
          <w:t>all’articolo 8, comma 3, del D.M. 24 giugno 2022</w:t>
        </w:r>
      </w:hyperlink>
      <w:r w:rsidRPr="005D1152">
        <w:rPr>
          <w:rFonts w:ascii="Garamond" w:hAnsi="Garamond" w:cs="Arial"/>
        </w:rPr>
        <w:t>.</w:t>
      </w:r>
    </w:p>
    <w:p w14:paraId="2B9AA73C" w14:textId="77777777" w:rsidR="00620527" w:rsidRPr="005D1152" w:rsidRDefault="00620527" w:rsidP="005D1152">
      <w:pPr>
        <w:spacing w:after="0" w:line="240" w:lineRule="auto"/>
        <w:ind w:left="0" w:right="0" w:firstLine="708"/>
        <w:rPr>
          <w:rFonts w:ascii="Garamond" w:hAnsi="Garamond" w:cs="Arial"/>
          <w:szCs w:val="24"/>
        </w:rPr>
      </w:pPr>
      <w:r w:rsidRPr="005D1152">
        <w:rPr>
          <w:rFonts w:ascii="Garamond" w:hAnsi="Garamond" w:cs="Arial"/>
          <w:szCs w:val="24"/>
        </w:rPr>
        <w:t xml:space="preserve">Sulla base del quadro normativo di riferimento e in una visione di transizione dall’attuale alla nuova programmazione, il Piano Integrato di Attività e Organizzazione 2022-2024, ha quindi il compito principale di fornire, una visione d’insieme sui principali strumenti di programmazione operativa e sullo stato di salute dell’Ente al fine di coordinare le diverse azioni contenute nei singoli Piani. </w:t>
      </w:r>
    </w:p>
    <w:p w14:paraId="0452DFED" w14:textId="77777777" w:rsidR="003647D4" w:rsidRPr="005D1152" w:rsidRDefault="003647D4" w:rsidP="005D1152">
      <w:pPr>
        <w:spacing w:after="0" w:line="240" w:lineRule="auto"/>
        <w:ind w:left="0" w:right="0"/>
        <w:jc w:val="left"/>
        <w:rPr>
          <w:rFonts w:ascii="Garamond" w:hAnsi="Garamond"/>
          <w:b/>
          <w:szCs w:val="24"/>
        </w:rPr>
      </w:pPr>
    </w:p>
    <w:p w14:paraId="2E6F4A29" w14:textId="7492CD1F" w:rsidR="00620527" w:rsidRPr="005D1152" w:rsidRDefault="00483CEB" w:rsidP="005D1152">
      <w:pPr>
        <w:spacing w:after="0" w:line="240" w:lineRule="auto"/>
        <w:ind w:left="0" w:right="0"/>
        <w:jc w:val="center"/>
        <w:rPr>
          <w:rFonts w:ascii="Garamond" w:hAnsi="Garamond"/>
          <w:szCs w:val="24"/>
        </w:rPr>
      </w:pPr>
      <w:r w:rsidRPr="005D1152">
        <w:rPr>
          <w:rFonts w:ascii="Garamond" w:hAnsi="Garamond"/>
          <w:b/>
          <w:szCs w:val="24"/>
        </w:rPr>
        <w:t>PIANO INTEGRATO DI ATTIVITÀ E ORGANIZZAZIONE 2022-2024</w:t>
      </w:r>
    </w:p>
    <w:p w14:paraId="264B53C9" w14:textId="1925E3D6" w:rsidR="00620527" w:rsidRPr="005D1152" w:rsidRDefault="00620527" w:rsidP="005D1152">
      <w:pPr>
        <w:spacing w:after="0" w:line="240" w:lineRule="auto"/>
        <w:ind w:left="0" w:right="0" w:firstLine="0"/>
        <w:jc w:val="left"/>
        <w:rPr>
          <w:rFonts w:ascii="Garamond" w:hAnsi="Garamond"/>
          <w:szCs w:val="24"/>
        </w:rPr>
      </w:pPr>
      <w:r w:rsidRPr="005D1152">
        <w:rPr>
          <w:rFonts w:ascii="Garamond" w:hAnsi="Garamond"/>
          <w:szCs w:val="24"/>
        </w:rPr>
        <w:t xml:space="preserve"> </w:t>
      </w:r>
      <w:r w:rsidRPr="005D1152">
        <w:rPr>
          <w:rFonts w:ascii="Garamond" w:hAnsi="Garamond"/>
          <w:b/>
          <w:i/>
          <w:szCs w:val="24"/>
        </w:rPr>
        <w:t xml:space="preserve"> </w:t>
      </w:r>
    </w:p>
    <w:tbl>
      <w:tblPr>
        <w:tblStyle w:val="TableGrid"/>
        <w:tblW w:w="9626" w:type="dxa"/>
        <w:tblInd w:w="6" w:type="dxa"/>
        <w:tblCellMar>
          <w:top w:w="15" w:type="dxa"/>
          <w:right w:w="44" w:type="dxa"/>
        </w:tblCellMar>
        <w:tblLook w:val="04A0" w:firstRow="1" w:lastRow="0" w:firstColumn="1" w:lastColumn="0" w:noHBand="0" w:noVBand="1"/>
      </w:tblPr>
      <w:tblGrid>
        <w:gridCol w:w="1718"/>
        <w:gridCol w:w="543"/>
        <w:gridCol w:w="1866"/>
        <w:gridCol w:w="5499"/>
      </w:tblGrid>
      <w:tr w:rsidR="00620527" w:rsidRPr="005D1152" w14:paraId="6F9B8AED" w14:textId="77777777" w:rsidTr="00C61363">
        <w:trPr>
          <w:trHeight w:val="449"/>
        </w:trPr>
        <w:tc>
          <w:tcPr>
            <w:tcW w:w="9626" w:type="dxa"/>
            <w:gridSpan w:val="4"/>
            <w:tcBorders>
              <w:top w:val="single" w:sz="4" w:space="0" w:color="000000"/>
              <w:left w:val="single" w:sz="4" w:space="0" w:color="000000"/>
              <w:bottom w:val="single" w:sz="4" w:space="0" w:color="000000"/>
              <w:right w:val="single" w:sz="4" w:space="0" w:color="000000"/>
            </w:tcBorders>
            <w:shd w:val="clear" w:color="auto" w:fill="D9D9D9"/>
          </w:tcPr>
          <w:p w14:paraId="32D9FBBF" w14:textId="77777777" w:rsidR="00620527" w:rsidRPr="005D1152" w:rsidRDefault="00620527" w:rsidP="005D1152">
            <w:pPr>
              <w:spacing w:after="0" w:line="240" w:lineRule="auto"/>
              <w:ind w:left="0" w:right="0" w:firstLine="0"/>
              <w:jc w:val="center"/>
              <w:rPr>
                <w:rFonts w:ascii="Garamond" w:hAnsi="Garamond"/>
                <w:szCs w:val="24"/>
              </w:rPr>
            </w:pPr>
            <w:r w:rsidRPr="005D1152">
              <w:rPr>
                <w:rFonts w:ascii="Garamond" w:hAnsi="Garamond"/>
                <w:b/>
                <w:szCs w:val="24"/>
              </w:rPr>
              <w:t>SEZIONE 1. SCHEDA ANAGRAFICA DELL’AMMINISTRAZIONE</w:t>
            </w:r>
            <w:r w:rsidRPr="005D1152">
              <w:rPr>
                <w:rFonts w:ascii="Garamond" w:hAnsi="Garamond"/>
                <w:szCs w:val="24"/>
              </w:rPr>
              <w:t xml:space="preserve"> </w:t>
            </w:r>
          </w:p>
        </w:tc>
      </w:tr>
      <w:tr w:rsidR="00620527" w:rsidRPr="000908AC" w14:paraId="0B11F286" w14:textId="77777777" w:rsidTr="00215E8A">
        <w:trPr>
          <w:trHeight w:val="3935"/>
        </w:trPr>
        <w:tc>
          <w:tcPr>
            <w:tcW w:w="9626" w:type="dxa"/>
            <w:gridSpan w:val="4"/>
            <w:tcBorders>
              <w:top w:val="single" w:sz="4" w:space="0" w:color="000000"/>
              <w:left w:val="single" w:sz="4" w:space="0" w:color="000000"/>
              <w:bottom w:val="single" w:sz="4" w:space="0" w:color="000000"/>
              <w:right w:val="single" w:sz="4" w:space="0" w:color="000000"/>
            </w:tcBorders>
          </w:tcPr>
          <w:p w14:paraId="3D2D9D4F" w14:textId="388E0805" w:rsidR="00620527" w:rsidRPr="005D1152" w:rsidRDefault="00620527" w:rsidP="005D1152">
            <w:pPr>
              <w:spacing w:after="0" w:line="240" w:lineRule="auto"/>
              <w:ind w:left="0" w:right="0" w:firstLine="0"/>
              <w:jc w:val="left"/>
              <w:rPr>
                <w:rFonts w:ascii="Garamond" w:hAnsi="Garamond"/>
                <w:szCs w:val="24"/>
              </w:rPr>
            </w:pPr>
            <w:r w:rsidRPr="005D1152">
              <w:rPr>
                <w:rFonts w:ascii="Garamond" w:hAnsi="Garamond"/>
                <w:szCs w:val="24"/>
              </w:rPr>
              <w:t xml:space="preserve">Comune di </w:t>
            </w:r>
            <w:r w:rsidR="000908AC">
              <w:rPr>
                <w:rFonts w:ascii="Garamond" w:hAnsi="Garamond"/>
                <w:szCs w:val="24"/>
              </w:rPr>
              <w:t>VALGANNA</w:t>
            </w:r>
          </w:p>
          <w:p w14:paraId="19F8B93E" w14:textId="777E5F40" w:rsidR="00620527" w:rsidRPr="005D1152" w:rsidRDefault="00620527" w:rsidP="005D1152">
            <w:pPr>
              <w:spacing w:after="0" w:line="240" w:lineRule="auto"/>
              <w:ind w:left="0" w:right="0" w:firstLine="0"/>
              <w:jc w:val="left"/>
              <w:rPr>
                <w:rFonts w:ascii="Garamond" w:hAnsi="Garamond"/>
                <w:szCs w:val="24"/>
              </w:rPr>
            </w:pPr>
            <w:r w:rsidRPr="005D1152">
              <w:rPr>
                <w:rFonts w:ascii="Garamond" w:hAnsi="Garamond"/>
                <w:szCs w:val="24"/>
              </w:rPr>
              <w:t xml:space="preserve">Indirizzo: </w:t>
            </w:r>
            <w:r w:rsidR="000908AC">
              <w:rPr>
                <w:rFonts w:ascii="Garamond" w:hAnsi="Garamond"/>
                <w:szCs w:val="24"/>
              </w:rPr>
              <w:t xml:space="preserve">Piazza Grandi 1 </w:t>
            </w:r>
            <w:r w:rsidRPr="005D1152">
              <w:rPr>
                <w:rFonts w:ascii="Garamond" w:hAnsi="Garamond"/>
                <w:szCs w:val="24"/>
              </w:rPr>
              <w:t xml:space="preserve"> </w:t>
            </w:r>
          </w:p>
          <w:p w14:paraId="75E73552" w14:textId="6E84A583" w:rsidR="00620527" w:rsidRPr="005D1152" w:rsidRDefault="00620527" w:rsidP="005D1152">
            <w:pPr>
              <w:spacing w:after="0" w:line="240" w:lineRule="auto"/>
              <w:ind w:left="0" w:right="0" w:firstLine="0"/>
              <w:jc w:val="left"/>
              <w:rPr>
                <w:rFonts w:ascii="Garamond" w:hAnsi="Garamond"/>
                <w:szCs w:val="24"/>
              </w:rPr>
            </w:pPr>
            <w:r w:rsidRPr="005D1152">
              <w:rPr>
                <w:rFonts w:ascii="Garamond" w:hAnsi="Garamond"/>
                <w:szCs w:val="24"/>
              </w:rPr>
              <w:t xml:space="preserve">Codice fiscale/Partita IVA: </w:t>
            </w:r>
            <w:r w:rsidR="000908AC">
              <w:rPr>
                <w:rFonts w:ascii="Garamond" w:hAnsi="Garamond"/>
                <w:szCs w:val="24"/>
              </w:rPr>
              <w:t>00477430128</w:t>
            </w:r>
          </w:p>
          <w:p w14:paraId="41F574AA" w14:textId="14186373" w:rsidR="00620527" w:rsidRPr="005D1152" w:rsidRDefault="00620527" w:rsidP="005D1152">
            <w:pPr>
              <w:spacing w:after="0" w:line="240" w:lineRule="auto"/>
              <w:ind w:left="0" w:right="0" w:firstLine="0"/>
              <w:jc w:val="left"/>
              <w:rPr>
                <w:rFonts w:ascii="Garamond" w:hAnsi="Garamond"/>
                <w:szCs w:val="24"/>
              </w:rPr>
            </w:pPr>
            <w:r w:rsidRPr="005D1152">
              <w:rPr>
                <w:rFonts w:ascii="Garamond" w:hAnsi="Garamond"/>
                <w:szCs w:val="24"/>
              </w:rPr>
              <w:t xml:space="preserve">Sindaco: </w:t>
            </w:r>
            <w:r w:rsidR="000908AC">
              <w:rPr>
                <w:rFonts w:ascii="Garamond" w:hAnsi="Garamond"/>
                <w:szCs w:val="24"/>
              </w:rPr>
              <w:t>Bruna Jardini</w:t>
            </w:r>
            <w:r w:rsidR="00FC3A64" w:rsidRPr="005D1152">
              <w:rPr>
                <w:rFonts w:ascii="Garamond" w:hAnsi="Garamond"/>
                <w:szCs w:val="24"/>
              </w:rPr>
              <w:t xml:space="preserve"> </w:t>
            </w:r>
          </w:p>
          <w:p w14:paraId="00896A90" w14:textId="0B961E53" w:rsidR="00620527" w:rsidRPr="005D1152" w:rsidRDefault="00620527" w:rsidP="005D1152">
            <w:pPr>
              <w:spacing w:after="0" w:line="240" w:lineRule="auto"/>
              <w:ind w:left="0" w:right="0" w:firstLine="0"/>
              <w:jc w:val="left"/>
              <w:rPr>
                <w:rFonts w:ascii="Garamond" w:hAnsi="Garamond"/>
                <w:szCs w:val="24"/>
              </w:rPr>
            </w:pPr>
            <w:r w:rsidRPr="005D1152">
              <w:rPr>
                <w:rFonts w:ascii="Garamond" w:hAnsi="Garamond"/>
                <w:szCs w:val="24"/>
              </w:rPr>
              <w:t xml:space="preserve">Numero dipendenti al 31 dicembre anno precedente: </w:t>
            </w:r>
            <w:r w:rsidR="000908AC">
              <w:rPr>
                <w:rFonts w:ascii="Garamond" w:hAnsi="Garamond"/>
                <w:szCs w:val="24"/>
              </w:rPr>
              <w:t>6</w:t>
            </w:r>
          </w:p>
          <w:p w14:paraId="32C9D0C2" w14:textId="53D85508" w:rsidR="00620527" w:rsidRPr="005D1152" w:rsidRDefault="00620527" w:rsidP="005D1152">
            <w:pPr>
              <w:spacing w:after="0" w:line="240" w:lineRule="auto"/>
              <w:ind w:left="0" w:right="0" w:firstLine="0"/>
              <w:jc w:val="left"/>
              <w:rPr>
                <w:rFonts w:ascii="Garamond" w:hAnsi="Garamond"/>
                <w:szCs w:val="24"/>
              </w:rPr>
            </w:pPr>
            <w:r w:rsidRPr="005D1152">
              <w:rPr>
                <w:rFonts w:ascii="Garamond" w:hAnsi="Garamond"/>
                <w:szCs w:val="24"/>
              </w:rPr>
              <w:t xml:space="preserve">Numero abitanti al 31 dicembre anno precedente: </w:t>
            </w:r>
            <w:r w:rsidR="000908AC">
              <w:rPr>
                <w:rFonts w:ascii="Garamond" w:hAnsi="Garamond"/>
                <w:szCs w:val="24"/>
              </w:rPr>
              <w:t>1587</w:t>
            </w:r>
          </w:p>
          <w:p w14:paraId="035A7008" w14:textId="39D95F0F" w:rsidR="00620527" w:rsidRPr="005D1152" w:rsidRDefault="00620527" w:rsidP="005D1152">
            <w:pPr>
              <w:spacing w:after="0" w:line="240" w:lineRule="auto"/>
              <w:ind w:left="0" w:right="0" w:firstLine="0"/>
              <w:jc w:val="left"/>
              <w:rPr>
                <w:rFonts w:ascii="Garamond" w:hAnsi="Garamond"/>
                <w:szCs w:val="24"/>
              </w:rPr>
            </w:pPr>
            <w:r w:rsidRPr="005D1152">
              <w:rPr>
                <w:rFonts w:ascii="Garamond" w:hAnsi="Garamond"/>
                <w:szCs w:val="24"/>
              </w:rPr>
              <w:t xml:space="preserve">Telefono: </w:t>
            </w:r>
            <w:r w:rsidR="000908AC">
              <w:rPr>
                <w:rFonts w:ascii="Garamond" w:hAnsi="Garamond"/>
                <w:szCs w:val="24"/>
              </w:rPr>
              <w:t>0332719755</w:t>
            </w:r>
          </w:p>
          <w:p w14:paraId="3F88A1CF" w14:textId="4268361B" w:rsidR="00620527" w:rsidRPr="005D1152" w:rsidRDefault="00620527" w:rsidP="005D1152">
            <w:pPr>
              <w:spacing w:after="0" w:line="240" w:lineRule="auto"/>
              <w:ind w:left="0" w:right="0" w:firstLine="0"/>
              <w:jc w:val="left"/>
              <w:rPr>
                <w:rFonts w:ascii="Garamond" w:hAnsi="Garamond"/>
                <w:szCs w:val="24"/>
              </w:rPr>
            </w:pPr>
            <w:r w:rsidRPr="005D1152">
              <w:rPr>
                <w:rFonts w:ascii="Garamond" w:hAnsi="Garamond"/>
                <w:szCs w:val="24"/>
              </w:rPr>
              <w:t xml:space="preserve">Sito internet: </w:t>
            </w:r>
            <w:r w:rsidR="003647D4" w:rsidRPr="005D1152">
              <w:rPr>
                <w:rFonts w:ascii="Garamond" w:hAnsi="Garamond"/>
                <w:szCs w:val="24"/>
              </w:rPr>
              <w:t>www.comune.</w:t>
            </w:r>
            <w:r w:rsidR="000908AC">
              <w:rPr>
                <w:rFonts w:ascii="Garamond" w:hAnsi="Garamond"/>
                <w:szCs w:val="24"/>
              </w:rPr>
              <w:t>valganna.va.it</w:t>
            </w:r>
          </w:p>
          <w:p w14:paraId="77B45B8C" w14:textId="5B177BC6" w:rsidR="00620527" w:rsidRPr="000908AC" w:rsidRDefault="00620527" w:rsidP="005D1152">
            <w:pPr>
              <w:spacing w:after="0" w:line="240" w:lineRule="auto"/>
              <w:ind w:left="0" w:right="0" w:firstLine="0"/>
              <w:jc w:val="left"/>
              <w:rPr>
                <w:rFonts w:ascii="Garamond" w:hAnsi="Garamond"/>
                <w:szCs w:val="24"/>
              </w:rPr>
            </w:pPr>
            <w:r w:rsidRPr="000908AC">
              <w:rPr>
                <w:rFonts w:ascii="Garamond" w:hAnsi="Garamond"/>
                <w:szCs w:val="24"/>
              </w:rPr>
              <w:t xml:space="preserve">E-mail: </w:t>
            </w:r>
            <w:r w:rsidR="000908AC" w:rsidRPr="000908AC">
              <w:rPr>
                <w:rFonts w:ascii="Garamond" w:hAnsi="Garamond"/>
                <w:szCs w:val="24"/>
              </w:rPr>
              <w:t>anagrafe@comune.v</w:t>
            </w:r>
            <w:r w:rsidR="000908AC">
              <w:rPr>
                <w:rFonts w:ascii="Garamond" w:hAnsi="Garamond"/>
                <w:szCs w:val="24"/>
              </w:rPr>
              <w:t>alganna.va.it</w:t>
            </w:r>
          </w:p>
          <w:p w14:paraId="5D290E2E" w14:textId="691E3C5D" w:rsidR="00620527" w:rsidRPr="000908AC" w:rsidRDefault="00620527" w:rsidP="005D1152">
            <w:pPr>
              <w:spacing w:after="0" w:line="240" w:lineRule="auto"/>
              <w:ind w:left="0" w:right="0" w:firstLine="0"/>
              <w:jc w:val="left"/>
              <w:rPr>
                <w:rFonts w:ascii="Garamond" w:hAnsi="Garamond"/>
                <w:szCs w:val="24"/>
                <w:lang w:val="en-US"/>
              </w:rPr>
            </w:pPr>
            <w:r w:rsidRPr="000908AC">
              <w:rPr>
                <w:rFonts w:ascii="Garamond" w:hAnsi="Garamond"/>
                <w:szCs w:val="24"/>
                <w:lang w:val="en-US"/>
              </w:rPr>
              <w:t xml:space="preserve">PEC: </w:t>
            </w:r>
            <w:r w:rsidR="000908AC">
              <w:rPr>
                <w:rFonts w:ascii="Garamond" w:hAnsi="Garamond"/>
                <w:szCs w:val="24"/>
                <w:lang w:val="en-US"/>
              </w:rPr>
              <w:t>comune.valganna@pec.regione.lombardia.it</w:t>
            </w:r>
          </w:p>
        </w:tc>
      </w:tr>
      <w:tr w:rsidR="00620527" w:rsidRPr="005D1152" w14:paraId="54F8FCD8" w14:textId="77777777" w:rsidTr="00C61363">
        <w:trPr>
          <w:trHeight w:val="444"/>
        </w:trPr>
        <w:tc>
          <w:tcPr>
            <w:tcW w:w="9626" w:type="dxa"/>
            <w:gridSpan w:val="4"/>
            <w:tcBorders>
              <w:top w:val="single" w:sz="4" w:space="0" w:color="000000"/>
              <w:left w:val="single" w:sz="4" w:space="0" w:color="000000"/>
              <w:bottom w:val="single" w:sz="4" w:space="0" w:color="000000"/>
              <w:right w:val="single" w:sz="4" w:space="0" w:color="000000"/>
            </w:tcBorders>
            <w:shd w:val="clear" w:color="auto" w:fill="D9D9D9"/>
          </w:tcPr>
          <w:p w14:paraId="4A91C32A" w14:textId="77777777" w:rsidR="00620527" w:rsidRPr="005D1152" w:rsidRDefault="00620527" w:rsidP="005D1152">
            <w:pPr>
              <w:spacing w:after="0" w:line="240" w:lineRule="auto"/>
              <w:ind w:left="0" w:right="0" w:firstLine="0"/>
              <w:jc w:val="center"/>
              <w:rPr>
                <w:rFonts w:ascii="Garamond" w:hAnsi="Garamond"/>
                <w:szCs w:val="24"/>
              </w:rPr>
            </w:pPr>
            <w:r w:rsidRPr="005D1152">
              <w:rPr>
                <w:rFonts w:ascii="Garamond" w:hAnsi="Garamond"/>
                <w:b/>
                <w:szCs w:val="24"/>
              </w:rPr>
              <w:t>SEZIONE 2. VALORE PUBBLICO, PERFORMANCE E ANTICORRUZIONE</w:t>
            </w:r>
            <w:r w:rsidRPr="005D1152">
              <w:rPr>
                <w:rFonts w:ascii="Garamond" w:hAnsi="Garamond"/>
                <w:szCs w:val="24"/>
              </w:rPr>
              <w:t xml:space="preserve"> </w:t>
            </w:r>
          </w:p>
        </w:tc>
      </w:tr>
      <w:tr w:rsidR="00620527" w:rsidRPr="005D1152" w14:paraId="56F377AB" w14:textId="77777777" w:rsidTr="00215E8A">
        <w:trPr>
          <w:trHeight w:val="2326"/>
        </w:trPr>
        <w:tc>
          <w:tcPr>
            <w:tcW w:w="2261" w:type="dxa"/>
            <w:gridSpan w:val="2"/>
            <w:tcBorders>
              <w:top w:val="single" w:sz="4" w:space="0" w:color="000000"/>
              <w:left w:val="single" w:sz="4" w:space="0" w:color="000000"/>
              <w:bottom w:val="single" w:sz="4" w:space="0" w:color="000000"/>
              <w:right w:val="nil"/>
            </w:tcBorders>
          </w:tcPr>
          <w:p w14:paraId="6F08DB75" w14:textId="11C25966" w:rsidR="00620527" w:rsidRPr="005D1152" w:rsidRDefault="00620527" w:rsidP="005D1152">
            <w:pPr>
              <w:spacing w:after="0" w:line="240" w:lineRule="auto"/>
              <w:ind w:left="0" w:right="0" w:firstLine="0"/>
              <w:jc w:val="left"/>
              <w:rPr>
                <w:rFonts w:ascii="Garamond" w:hAnsi="Garamond"/>
                <w:szCs w:val="24"/>
              </w:rPr>
            </w:pPr>
            <w:r w:rsidRPr="005D1152">
              <w:rPr>
                <w:rFonts w:ascii="Garamond" w:hAnsi="Garamond"/>
                <w:b/>
                <w:szCs w:val="24"/>
              </w:rPr>
              <w:t>Sottosezione di Valore pubblico</w:t>
            </w:r>
            <w:r w:rsidRPr="005D1152">
              <w:rPr>
                <w:rFonts w:ascii="Garamond" w:hAnsi="Garamond"/>
                <w:szCs w:val="24"/>
              </w:rPr>
              <w:t xml:space="preserve"> </w:t>
            </w:r>
          </w:p>
        </w:tc>
        <w:tc>
          <w:tcPr>
            <w:tcW w:w="1866" w:type="dxa"/>
            <w:tcBorders>
              <w:top w:val="single" w:sz="4" w:space="0" w:color="000000"/>
              <w:left w:val="nil"/>
              <w:bottom w:val="single" w:sz="4" w:space="0" w:color="000000"/>
              <w:right w:val="single" w:sz="4" w:space="0" w:color="000000"/>
            </w:tcBorders>
          </w:tcPr>
          <w:p w14:paraId="41D81469" w14:textId="77777777" w:rsidR="00620527" w:rsidRPr="005D1152" w:rsidRDefault="00620527" w:rsidP="005D1152">
            <w:pPr>
              <w:spacing w:after="0" w:line="240" w:lineRule="auto"/>
              <w:ind w:left="0" w:right="0" w:firstLine="0"/>
              <w:rPr>
                <w:rFonts w:ascii="Garamond" w:hAnsi="Garamond"/>
                <w:szCs w:val="24"/>
              </w:rPr>
            </w:pPr>
            <w:r w:rsidRPr="005D1152">
              <w:rPr>
                <w:rFonts w:ascii="Garamond" w:hAnsi="Garamond"/>
                <w:b/>
                <w:szCs w:val="24"/>
              </w:rPr>
              <w:t xml:space="preserve">programmazione </w:t>
            </w:r>
          </w:p>
        </w:tc>
        <w:tc>
          <w:tcPr>
            <w:tcW w:w="5499" w:type="dxa"/>
            <w:tcBorders>
              <w:top w:val="single" w:sz="4" w:space="0" w:color="000000"/>
              <w:left w:val="single" w:sz="4" w:space="0" w:color="000000"/>
              <w:bottom w:val="single" w:sz="4" w:space="0" w:color="000000"/>
              <w:right w:val="single" w:sz="4" w:space="0" w:color="000000"/>
            </w:tcBorders>
          </w:tcPr>
          <w:p w14:paraId="1993D232" w14:textId="75A04179" w:rsidR="00620527" w:rsidRPr="005D1152" w:rsidRDefault="00620527" w:rsidP="00215E8A">
            <w:pPr>
              <w:spacing w:after="0" w:line="240" w:lineRule="auto"/>
              <w:ind w:left="0" w:right="0" w:firstLine="0"/>
              <w:rPr>
                <w:rFonts w:ascii="Garamond" w:hAnsi="Garamond"/>
                <w:szCs w:val="24"/>
              </w:rPr>
            </w:pPr>
            <w:r w:rsidRPr="005D1152">
              <w:rPr>
                <w:rFonts w:ascii="Garamond" w:hAnsi="Garamond"/>
                <w:szCs w:val="24"/>
              </w:rPr>
              <w:t xml:space="preserve">Documento Unico di Programmazione 2022-2024, di cui alla deliberazione di Consiglio Comunale n. </w:t>
            </w:r>
            <w:r w:rsidR="00EC10DC" w:rsidRPr="005D1152">
              <w:rPr>
                <w:rFonts w:ascii="Garamond" w:hAnsi="Garamond"/>
                <w:szCs w:val="24"/>
              </w:rPr>
              <w:t>12</w:t>
            </w:r>
            <w:r w:rsidRPr="005D1152">
              <w:rPr>
                <w:rFonts w:ascii="Garamond" w:hAnsi="Garamond"/>
                <w:szCs w:val="24"/>
              </w:rPr>
              <w:t xml:space="preserve"> del </w:t>
            </w:r>
            <w:r w:rsidR="000908AC">
              <w:rPr>
                <w:rFonts w:ascii="Garamond" w:hAnsi="Garamond"/>
                <w:szCs w:val="24"/>
              </w:rPr>
              <w:t>31/05/2022</w:t>
            </w:r>
          </w:p>
        </w:tc>
      </w:tr>
      <w:tr w:rsidR="00620527" w:rsidRPr="005D1152" w14:paraId="60E72AA6" w14:textId="77777777" w:rsidTr="00215E8A">
        <w:trPr>
          <w:trHeight w:val="2253"/>
        </w:trPr>
        <w:tc>
          <w:tcPr>
            <w:tcW w:w="1718" w:type="dxa"/>
            <w:tcBorders>
              <w:top w:val="single" w:sz="4" w:space="0" w:color="000000"/>
              <w:left w:val="single" w:sz="4" w:space="0" w:color="000000"/>
              <w:bottom w:val="single" w:sz="4" w:space="0" w:color="000000"/>
              <w:right w:val="nil"/>
            </w:tcBorders>
          </w:tcPr>
          <w:p w14:paraId="5542BB1A" w14:textId="77777777" w:rsidR="00620527" w:rsidRPr="005D1152" w:rsidRDefault="00620527" w:rsidP="005D1152">
            <w:pPr>
              <w:spacing w:after="0" w:line="240" w:lineRule="auto"/>
              <w:ind w:left="0" w:right="0" w:firstLine="0"/>
              <w:jc w:val="left"/>
              <w:rPr>
                <w:rFonts w:ascii="Garamond" w:hAnsi="Garamond"/>
                <w:szCs w:val="24"/>
              </w:rPr>
            </w:pPr>
            <w:r w:rsidRPr="005D1152">
              <w:rPr>
                <w:rFonts w:ascii="Garamond" w:hAnsi="Garamond"/>
                <w:b/>
                <w:szCs w:val="24"/>
              </w:rPr>
              <w:lastRenderedPageBreak/>
              <w:t>Sottosezione Performance</w:t>
            </w:r>
            <w:r w:rsidRPr="005D1152">
              <w:rPr>
                <w:rFonts w:ascii="Garamond" w:hAnsi="Garamond"/>
                <w:szCs w:val="24"/>
              </w:rPr>
              <w:t xml:space="preserve"> </w:t>
            </w:r>
          </w:p>
        </w:tc>
        <w:tc>
          <w:tcPr>
            <w:tcW w:w="543" w:type="dxa"/>
            <w:tcBorders>
              <w:top w:val="single" w:sz="4" w:space="0" w:color="000000"/>
              <w:left w:val="nil"/>
              <w:bottom w:val="single" w:sz="4" w:space="0" w:color="000000"/>
              <w:right w:val="nil"/>
            </w:tcBorders>
          </w:tcPr>
          <w:p w14:paraId="7C10C86E" w14:textId="77777777" w:rsidR="00620527" w:rsidRPr="005D1152" w:rsidRDefault="00620527" w:rsidP="005D1152">
            <w:pPr>
              <w:spacing w:after="0" w:line="240" w:lineRule="auto"/>
              <w:ind w:left="0" w:right="0" w:firstLine="0"/>
              <w:jc w:val="left"/>
              <w:rPr>
                <w:rFonts w:ascii="Garamond" w:hAnsi="Garamond"/>
                <w:szCs w:val="24"/>
              </w:rPr>
            </w:pPr>
            <w:r w:rsidRPr="005D1152">
              <w:rPr>
                <w:rFonts w:ascii="Garamond" w:hAnsi="Garamond"/>
                <w:b/>
                <w:szCs w:val="24"/>
              </w:rPr>
              <w:t xml:space="preserve">di </w:t>
            </w:r>
          </w:p>
        </w:tc>
        <w:tc>
          <w:tcPr>
            <w:tcW w:w="1866" w:type="dxa"/>
            <w:tcBorders>
              <w:top w:val="single" w:sz="4" w:space="0" w:color="000000"/>
              <w:left w:val="nil"/>
              <w:bottom w:val="single" w:sz="4" w:space="0" w:color="000000"/>
              <w:right w:val="single" w:sz="4" w:space="0" w:color="000000"/>
            </w:tcBorders>
          </w:tcPr>
          <w:p w14:paraId="2AE62B0F" w14:textId="77777777" w:rsidR="00620527" w:rsidRPr="005D1152" w:rsidRDefault="00620527" w:rsidP="005D1152">
            <w:pPr>
              <w:spacing w:after="0" w:line="240" w:lineRule="auto"/>
              <w:ind w:left="0" w:right="0" w:firstLine="0"/>
              <w:rPr>
                <w:rFonts w:ascii="Garamond" w:hAnsi="Garamond"/>
                <w:szCs w:val="24"/>
              </w:rPr>
            </w:pPr>
            <w:r w:rsidRPr="005D1152">
              <w:rPr>
                <w:rFonts w:ascii="Garamond" w:hAnsi="Garamond"/>
                <w:b/>
                <w:szCs w:val="24"/>
              </w:rPr>
              <w:t xml:space="preserve">programmazione </w:t>
            </w:r>
          </w:p>
        </w:tc>
        <w:tc>
          <w:tcPr>
            <w:tcW w:w="5499" w:type="dxa"/>
            <w:tcBorders>
              <w:top w:val="single" w:sz="4" w:space="0" w:color="000000"/>
              <w:left w:val="single" w:sz="4" w:space="0" w:color="000000"/>
              <w:bottom w:val="single" w:sz="4" w:space="0" w:color="000000"/>
              <w:right w:val="single" w:sz="4" w:space="0" w:color="000000"/>
            </w:tcBorders>
          </w:tcPr>
          <w:p w14:paraId="5B0EA51B" w14:textId="783CAAC6" w:rsidR="00620527" w:rsidRPr="005D1152" w:rsidRDefault="00620527" w:rsidP="005D1152">
            <w:pPr>
              <w:spacing w:after="0" w:line="240" w:lineRule="auto"/>
              <w:ind w:left="0" w:right="0" w:firstLine="0"/>
              <w:rPr>
                <w:rFonts w:ascii="Garamond" w:hAnsi="Garamond"/>
                <w:szCs w:val="24"/>
              </w:rPr>
            </w:pPr>
            <w:r w:rsidRPr="005D1152">
              <w:rPr>
                <w:rFonts w:ascii="Garamond" w:hAnsi="Garamond"/>
                <w:szCs w:val="24"/>
              </w:rPr>
              <w:t>Piano della Performance 202</w:t>
            </w:r>
            <w:r w:rsidR="00215E8A">
              <w:rPr>
                <w:rFonts w:ascii="Garamond" w:hAnsi="Garamond"/>
                <w:szCs w:val="24"/>
              </w:rPr>
              <w:t>2</w:t>
            </w:r>
            <w:r w:rsidRPr="005D1152">
              <w:rPr>
                <w:rFonts w:ascii="Garamond" w:hAnsi="Garamond"/>
                <w:szCs w:val="24"/>
              </w:rPr>
              <w:t>-202</w:t>
            </w:r>
            <w:r w:rsidR="00215E8A">
              <w:rPr>
                <w:rFonts w:ascii="Garamond" w:hAnsi="Garamond"/>
                <w:szCs w:val="24"/>
              </w:rPr>
              <w:t>4</w:t>
            </w:r>
            <w:r w:rsidRPr="005D1152">
              <w:rPr>
                <w:rFonts w:ascii="Garamond" w:hAnsi="Garamond"/>
                <w:szCs w:val="24"/>
              </w:rPr>
              <w:t xml:space="preserve">, di cui alla deliberazione di Giunta Comunale n. </w:t>
            </w:r>
            <w:r w:rsidR="000908AC">
              <w:rPr>
                <w:rFonts w:ascii="Garamond" w:hAnsi="Garamond"/>
                <w:szCs w:val="24"/>
              </w:rPr>
              <w:t>31 del 22/06/2022</w:t>
            </w:r>
            <w:r w:rsidRPr="005D1152">
              <w:rPr>
                <w:rFonts w:ascii="Garamond" w:hAnsi="Garamond"/>
                <w:szCs w:val="24"/>
              </w:rPr>
              <w:t xml:space="preserve"> </w:t>
            </w:r>
          </w:p>
          <w:p w14:paraId="5D3DFCF7" w14:textId="7BAA00C1" w:rsidR="00620527" w:rsidRPr="005D1152" w:rsidRDefault="00620527" w:rsidP="005D1152">
            <w:pPr>
              <w:spacing w:after="0" w:line="240" w:lineRule="auto"/>
              <w:ind w:left="0" w:right="0" w:firstLine="0"/>
              <w:rPr>
                <w:rFonts w:ascii="Garamond" w:hAnsi="Garamond"/>
                <w:szCs w:val="24"/>
              </w:rPr>
            </w:pPr>
            <w:r w:rsidRPr="000908AC">
              <w:rPr>
                <w:rFonts w:ascii="Garamond" w:hAnsi="Garamond"/>
                <w:szCs w:val="24"/>
              </w:rPr>
              <w:t xml:space="preserve">Piano delle azioni positive </w:t>
            </w:r>
            <w:r w:rsidR="000908AC">
              <w:rPr>
                <w:rFonts w:ascii="Garamond" w:hAnsi="Garamond"/>
                <w:szCs w:val="24"/>
              </w:rPr>
              <w:t>2022-2024</w:t>
            </w:r>
            <w:r w:rsidRPr="000908AC">
              <w:rPr>
                <w:rFonts w:ascii="Garamond" w:hAnsi="Garamond"/>
                <w:szCs w:val="24"/>
              </w:rPr>
              <w:t xml:space="preserve">, di cui alla deliberazione di Giunta Comunale n. </w:t>
            </w:r>
            <w:r w:rsidR="000908AC">
              <w:rPr>
                <w:rFonts w:ascii="Garamond" w:hAnsi="Garamond"/>
                <w:szCs w:val="24"/>
              </w:rPr>
              <w:t>5</w:t>
            </w:r>
            <w:r w:rsidRPr="000908AC">
              <w:rPr>
                <w:rFonts w:ascii="Garamond" w:hAnsi="Garamond"/>
                <w:szCs w:val="24"/>
              </w:rPr>
              <w:t xml:space="preserve"> del </w:t>
            </w:r>
            <w:r w:rsidR="00EC0EFE" w:rsidRPr="000908AC">
              <w:rPr>
                <w:rFonts w:ascii="Garamond" w:hAnsi="Garamond"/>
                <w:szCs w:val="24"/>
              </w:rPr>
              <w:t>2</w:t>
            </w:r>
            <w:r w:rsidR="00EF449B" w:rsidRPr="000908AC">
              <w:rPr>
                <w:rFonts w:ascii="Garamond" w:hAnsi="Garamond"/>
                <w:szCs w:val="24"/>
              </w:rPr>
              <w:t>3</w:t>
            </w:r>
            <w:r w:rsidR="000908AC">
              <w:rPr>
                <w:rFonts w:ascii="Garamond" w:hAnsi="Garamond"/>
                <w:szCs w:val="24"/>
              </w:rPr>
              <w:t>/02/2022</w:t>
            </w:r>
            <w:r w:rsidR="00EC0EFE" w:rsidRPr="000908AC">
              <w:rPr>
                <w:rFonts w:ascii="Garamond" w:hAnsi="Garamond"/>
                <w:szCs w:val="24"/>
              </w:rPr>
              <w:t xml:space="preserve"> </w:t>
            </w:r>
          </w:p>
          <w:p w14:paraId="2E1E7123" w14:textId="1C6A09B0" w:rsidR="00620527" w:rsidRPr="005D1152" w:rsidRDefault="00620527" w:rsidP="005D1152">
            <w:pPr>
              <w:spacing w:after="0" w:line="240" w:lineRule="auto"/>
              <w:ind w:left="0" w:right="0" w:firstLine="0"/>
              <w:rPr>
                <w:rFonts w:ascii="Garamond" w:hAnsi="Garamond"/>
                <w:szCs w:val="24"/>
              </w:rPr>
            </w:pPr>
          </w:p>
        </w:tc>
      </w:tr>
      <w:tr w:rsidR="00620527" w:rsidRPr="005D1152" w14:paraId="229BC71B" w14:textId="77777777" w:rsidTr="00215E8A">
        <w:trPr>
          <w:trHeight w:val="1235"/>
        </w:trPr>
        <w:tc>
          <w:tcPr>
            <w:tcW w:w="4127" w:type="dxa"/>
            <w:gridSpan w:val="3"/>
            <w:tcBorders>
              <w:top w:val="single" w:sz="4" w:space="0" w:color="000000"/>
              <w:left w:val="single" w:sz="4" w:space="0" w:color="000000"/>
              <w:bottom w:val="single" w:sz="4" w:space="0" w:color="000000"/>
              <w:right w:val="single" w:sz="4" w:space="0" w:color="000000"/>
            </w:tcBorders>
          </w:tcPr>
          <w:p w14:paraId="171A3800" w14:textId="77777777" w:rsidR="00215E8A" w:rsidRDefault="00620527" w:rsidP="00215E8A">
            <w:pPr>
              <w:tabs>
                <w:tab w:val="center" w:pos="1818"/>
                <w:tab w:val="right" w:pos="4083"/>
              </w:tabs>
              <w:spacing w:after="0" w:line="240" w:lineRule="auto"/>
              <w:ind w:left="0" w:right="0" w:firstLine="0"/>
              <w:jc w:val="left"/>
              <w:rPr>
                <w:rFonts w:ascii="Garamond" w:hAnsi="Garamond"/>
                <w:b/>
                <w:szCs w:val="24"/>
              </w:rPr>
            </w:pPr>
            <w:r w:rsidRPr="005D1152">
              <w:rPr>
                <w:rFonts w:ascii="Garamond" w:hAnsi="Garamond"/>
                <w:b/>
                <w:szCs w:val="24"/>
              </w:rPr>
              <w:t xml:space="preserve">Sottosezione di </w:t>
            </w:r>
            <w:r w:rsidRPr="005D1152">
              <w:rPr>
                <w:rFonts w:ascii="Garamond" w:hAnsi="Garamond"/>
                <w:b/>
                <w:szCs w:val="24"/>
              </w:rPr>
              <w:tab/>
              <w:t xml:space="preserve">programmazione </w:t>
            </w:r>
          </w:p>
          <w:p w14:paraId="27B0FFEF" w14:textId="63E30F99" w:rsidR="00620527" w:rsidRPr="005D1152" w:rsidRDefault="00620527" w:rsidP="00215E8A">
            <w:pPr>
              <w:tabs>
                <w:tab w:val="center" w:pos="1818"/>
                <w:tab w:val="right" w:pos="4083"/>
              </w:tabs>
              <w:spacing w:after="0" w:line="240" w:lineRule="auto"/>
              <w:ind w:left="0" w:right="0" w:firstLine="0"/>
              <w:jc w:val="left"/>
              <w:rPr>
                <w:rFonts w:ascii="Garamond" w:hAnsi="Garamond"/>
                <w:szCs w:val="24"/>
              </w:rPr>
            </w:pPr>
            <w:r w:rsidRPr="005D1152">
              <w:rPr>
                <w:rFonts w:ascii="Garamond" w:hAnsi="Garamond"/>
                <w:b/>
                <w:szCs w:val="24"/>
              </w:rPr>
              <w:t>Rischi corruttivi e trasparenza</w:t>
            </w:r>
            <w:r w:rsidRPr="005D1152">
              <w:rPr>
                <w:rFonts w:ascii="Garamond" w:hAnsi="Garamond"/>
                <w:szCs w:val="24"/>
              </w:rPr>
              <w:t xml:space="preserve"> </w:t>
            </w:r>
          </w:p>
        </w:tc>
        <w:tc>
          <w:tcPr>
            <w:tcW w:w="5499" w:type="dxa"/>
            <w:tcBorders>
              <w:top w:val="single" w:sz="4" w:space="0" w:color="000000"/>
              <w:left w:val="single" w:sz="4" w:space="0" w:color="000000"/>
              <w:bottom w:val="single" w:sz="4" w:space="0" w:color="000000"/>
              <w:right w:val="single" w:sz="4" w:space="0" w:color="000000"/>
            </w:tcBorders>
          </w:tcPr>
          <w:p w14:paraId="489F4EB8" w14:textId="54009D9A" w:rsidR="00620527" w:rsidRPr="005D1152" w:rsidRDefault="00620527" w:rsidP="00215E8A">
            <w:pPr>
              <w:spacing w:after="0" w:line="240" w:lineRule="auto"/>
              <w:ind w:left="0" w:right="0" w:firstLine="0"/>
              <w:rPr>
                <w:rFonts w:ascii="Garamond" w:hAnsi="Garamond"/>
                <w:szCs w:val="24"/>
              </w:rPr>
            </w:pPr>
            <w:r w:rsidRPr="005D1152">
              <w:rPr>
                <w:rFonts w:ascii="Garamond" w:hAnsi="Garamond"/>
                <w:szCs w:val="24"/>
              </w:rPr>
              <w:t xml:space="preserve">Piano Triennale per la </w:t>
            </w:r>
            <w:r w:rsidR="003647D4" w:rsidRPr="005D1152">
              <w:rPr>
                <w:rFonts w:ascii="Garamond" w:hAnsi="Garamond"/>
                <w:szCs w:val="24"/>
              </w:rPr>
              <w:t xml:space="preserve">Prevenzione della Corruzione e della Trasparenza </w:t>
            </w:r>
            <w:r w:rsidR="00EC0EFE" w:rsidRPr="005D1152">
              <w:rPr>
                <w:rFonts w:ascii="Garamond" w:hAnsi="Garamond"/>
                <w:szCs w:val="24"/>
              </w:rPr>
              <w:t>2022-2024</w:t>
            </w:r>
            <w:r w:rsidR="003647D4" w:rsidRPr="005D1152">
              <w:rPr>
                <w:rFonts w:ascii="Garamond" w:hAnsi="Garamond"/>
                <w:szCs w:val="24"/>
              </w:rPr>
              <w:t xml:space="preserve"> approvato con deliberazione di Giunta Comunale n. </w:t>
            </w:r>
            <w:r w:rsidR="000908AC">
              <w:rPr>
                <w:rFonts w:ascii="Garamond" w:hAnsi="Garamond"/>
                <w:szCs w:val="24"/>
              </w:rPr>
              <w:t>12 del 23/04/2022</w:t>
            </w:r>
            <w:r w:rsidR="003647D4" w:rsidRPr="005D1152">
              <w:rPr>
                <w:rFonts w:ascii="Garamond" w:hAnsi="Garamond"/>
                <w:szCs w:val="24"/>
              </w:rPr>
              <w:t xml:space="preserve"> </w:t>
            </w:r>
          </w:p>
        </w:tc>
      </w:tr>
      <w:tr w:rsidR="00620527" w:rsidRPr="005D1152" w14:paraId="6CE80139" w14:textId="77777777" w:rsidTr="00C61363">
        <w:tblPrEx>
          <w:tblCellMar>
            <w:left w:w="109" w:type="dxa"/>
          </w:tblCellMar>
        </w:tblPrEx>
        <w:trPr>
          <w:trHeight w:val="449"/>
        </w:trPr>
        <w:tc>
          <w:tcPr>
            <w:tcW w:w="9626" w:type="dxa"/>
            <w:gridSpan w:val="4"/>
            <w:tcBorders>
              <w:top w:val="single" w:sz="4" w:space="0" w:color="000000"/>
              <w:left w:val="single" w:sz="4" w:space="0" w:color="000000"/>
              <w:bottom w:val="single" w:sz="4" w:space="0" w:color="000000"/>
              <w:right w:val="single" w:sz="4" w:space="0" w:color="000000"/>
            </w:tcBorders>
            <w:shd w:val="clear" w:color="auto" w:fill="D9D9D9"/>
          </w:tcPr>
          <w:p w14:paraId="11EA8474" w14:textId="77777777" w:rsidR="00620527" w:rsidRPr="005D1152" w:rsidRDefault="00620527" w:rsidP="005D1152">
            <w:pPr>
              <w:spacing w:after="0" w:line="240" w:lineRule="auto"/>
              <w:ind w:left="0" w:right="0" w:firstLine="0"/>
              <w:jc w:val="center"/>
              <w:rPr>
                <w:rFonts w:ascii="Garamond" w:hAnsi="Garamond"/>
                <w:szCs w:val="24"/>
              </w:rPr>
            </w:pPr>
            <w:r w:rsidRPr="005D1152">
              <w:rPr>
                <w:rFonts w:ascii="Garamond" w:hAnsi="Garamond"/>
                <w:b/>
                <w:szCs w:val="24"/>
              </w:rPr>
              <w:t>SEZIONE 3. ORGANIZZAZIONE E CAPITALE UMANO</w:t>
            </w:r>
            <w:r w:rsidRPr="005D1152">
              <w:rPr>
                <w:rFonts w:ascii="Garamond" w:hAnsi="Garamond"/>
                <w:szCs w:val="24"/>
              </w:rPr>
              <w:t xml:space="preserve"> </w:t>
            </w:r>
          </w:p>
        </w:tc>
      </w:tr>
      <w:tr w:rsidR="00620527" w:rsidRPr="005D1152" w14:paraId="578FE57B" w14:textId="77777777" w:rsidTr="003647D4">
        <w:tblPrEx>
          <w:tblCellMar>
            <w:left w:w="109" w:type="dxa"/>
          </w:tblCellMar>
        </w:tblPrEx>
        <w:trPr>
          <w:trHeight w:val="1722"/>
        </w:trPr>
        <w:tc>
          <w:tcPr>
            <w:tcW w:w="4127" w:type="dxa"/>
            <w:gridSpan w:val="3"/>
            <w:tcBorders>
              <w:top w:val="single" w:sz="4" w:space="0" w:color="000000"/>
              <w:left w:val="single" w:sz="4" w:space="0" w:color="000000"/>
              <w:bottom w:val="single" w:sz="4" w:space="0" w:color="000000"/>
              <w:right w:val="single" w:sz="4" w:space="0" w:color="000000"/>
            </w:tcBorders>
          </w:tcPr>
          <w:p w14:paraId="34A375C3" w14:textId="77777777" w:rsidR="002542E7" w:rsidRPr="005D1152" w:rsidRDefault="002542E7" w:rsidP="005D1152">
            <w:pPr>
              <w:tabs>
                <w:tab w:val="center" w:pos="633"/>
                <w:tab w:val="center" w:pos="1709"/>
                <w:tab w:val="center" w:pos="3031"/>
              </w:tabs>
              <w:spacing w:after="0" w:line="240" w:lineRule="auto"/>
              <w:ind w:left="0" w:right="0" w:firstLine="0"/>
              <w:jc w:val="left"/>
              <w:rPr>
                <w:rFonts w:ascii="Garamond" w:eastAsia="Calibri" w:hAnsi="Garamond" w:cs="Calibri"/>
                <w:szCs w:val="24"/>
              </w:rPr>
            </w:pPr>
          </w:p>
          <w:p w14:paraId="187C3F2A" w14:textId="18DA48E3" w:rsidR="00620527" w:rsidRPr="005D1152" w:rsidRDefault="00620527" w:rsidP="005D1152">
            <w:pPr>
              <w:tabs>
                <w:tab w:val="center" w:pos="633"/>
                <w:tab w:val="center" w:pos="1709"/>
                <w:tab w:val="center" w:pos="3031"/>
              </w:tabs>
              <w:spacing w:after="0" w:line="240" w:lineRule="auto"/>
              <w:ind w:left="0" w:right="0" w:firstLine="0"/>
              <w:jc w:val="left"/>
              <w:rPr>
                <w:rFonts w:ascii="Garamond" w:hAnsi="Garamond"/>
                <w:szCs w:val="24"/>
              </w:rPr>
            </w:pPr>
            <w:r w:rsidRPr="005D1152">
              <w:rPr>
                <w:rFonts w:ascii="Garamond" w:eastAsia="Calibri" w:hAnsi="Garamond" w:cs="Calibri"/>
                <w:szCs w:val="24"/>
              </w:rPr>
              <w:tab/>
            </w:r>
            <w:r w:rsidRPr="005D1152">
              <w:rPr>
                <w:rFonts w:ascii="Garamond" w:hAnsi="Garamond"/>
                <w:b/>
                <w:szCs w:val="24"/>
              </w:rPr>
              <w:t xml:space="preserve">Sottosezione di </w:t>
            </w:r>
            <w:r w:rsidRPr="005D1152">
              <w:rPr>
                <w:rFonts w:ascii="Garamond" w:hAnsi="Garamond"/>
                <w:b/>
                <w:szCs w:val="24"/>
              </w:rPr>
              <w:tab/>
              <w:t xml:space="preserve">programmazione </w:t>
            </w:r>
          </w:p>
          <w:p w14:paraId="718FF61D" w14:textId="77777777" w:rsidR="00620527" w:rsidRPr="005D1152" w:rsidRDefault="00620527" w:rsidP="005D1152">
            <w:pPr>
              <w:spacing w:after="0" w:line="240" w:lineRule="auto"/>
              <w:ind w:left="0" w:right="0" w:firstLine="0"/>
              <w:jc w:val="left"/>
              <w:rPr>
                <w:rFonts w:ascii="Garamond" w:hAnsi="Garamond"/>
                <w:szCs w:val="24"/>
              </w:rPr>
            </w:pPr>
            <w:r w:rsidRPr="005D1152">
              <w:rPr>
                <w:rFonts w:ascii="Garamond" w:hAnsi="Garamond"/>
                <w:b/>
                <w:szCs w:val="24"/>
              </w:rPr>
              <w:t xml:space="preserve">Organizzazione del lavoro agile </w:t>
            </w:r>
          </w:p>
        </w:tc>
        <w:tc>
          <w:tcPr>
            <w:tcW w:w="5499" w:type="dxa"/>
            <w:tcBorders>
              <w:top w:val="single" w:sz="4" w:space="0" w:color="000000"/>
              <w:left w:val="single" w:sz="4" w:space="0" w:color="000000"/>
              <w:bottom w:val="single" w:sz="4" w:space="0" w:color="000000"/>
              <w:right w:val="single" w:sz="4" w:space="0" w:color="000000"/>
            </w:tcBorders>
          </w:tcPr>
          <w:p w14:paraId="7B8917E4" w14:textId="00A0EFBA" w:rsidR="00620527" w:rsidRPr="005D1152" w:rsidRDefault="00620527" w:rsidP="005D1152">
            <w:pPr>
              <w:spacing w:after="0" w:line="240" w:lineRule="auto"/>
              <w:ind w:left="0" w:right="0" w:firstLine="0"/>
              <w:rPr>
                <w:rFonts w:ascii="Garamond" w:hAnsi="Garamond"/>
                <w:szCs w:val="24"/>
              </w:rPr>
            </w:pPr>
            <w:r w:rsidRPr="005D1152">
              <w:rPr>
                <w:rFonts w:ascii="Garamond" w:hAnsi="Garamond"/>
                <w:szCs w:val="24"/>
              </w:rPr>
              <w:t>Programmazione degli obiettivi per lo sviluppo di modelli innovativi di organizzazione del lavoro, anche da remoto (es. lavoro agile e telelavoro), al</w:t>
            </w:r>
            <w:r w:rsidR="00483CEB" w:rsidRPr="005D1152">
              <w:rPr>
                <w:rFonts w:ascii="Garamond" w:hAnsi="Garamond"/>
                <w:szCs w:val="24"/>
              </w:rPr>
              <w:t>la</w:t>
            </w:r>
            <w:r w:rsidRPr="005D1152">
              <w:rPr>
                <w:rFonts w:ascii="Garamond" w:hAnsi="Garamond"/>
                <w:szCs w:val="24"/>
              </w:rPr>
              <w:t xml:space="preserve"> presente deliberazione</w:t>
            </w:r>
            <w:r w:rsidR="002542E7" w:rsidRPr="005D1152">
              <w:rPr>
                <w:rFonts w:ascii="Garamond" w:hAnsi="Garamond"/>
                <w:szCs w:val="24"/>
              </w:rPr>
              <w:t>.</w:t>
            </w:r>
          </w:p>
          <w:p w14:paraId="55667B2A" w14:textId="4C847F2E" w:rsidR="00620527" w:rsidRPr="005D1152" w:rsidRDefault="00620527" w:rsidP="005D1152">
            <w:pPr>
              <w:spacing w:after="0" w:line="240" w:lineRule="auto"/>
              <w:ind w:left="0" w:right="0" w:firstLine="0"/>
              <w:rPr>
                <w:rFonts w:ascii="Garamond" w:hAnsi="Garamond"/>
                <w:szCs w:val="24"/>
              </w:rPr>
            </w:pPr>
          </w:p>
        </w:tc>
      </w:tr>
      <w:tr w:rsidR="00620527" w:rsidRPr="005D1152" w14:paraId="6479B3B7" w14:textId="77777777" w:rsidTr="003647D4">
        <w:tblPrEx>
          <w:tblCellMar>
            <w:left w:w="109" w:type="dxa"/>
          </w:tblCellMar>
        </w:tblPrEx>
        <w:trPr>
          <w:trHeight w:val="2155"/>
        </w:trPr>
        <w:tc>
          <w:tcPr>
            <w:tcW w:w="4127" w:type="dxa"/>
            <w:gridSpan w:val="3"/>
            <w:tcBorders>
              <w:top w:val="single" w:sz="4" w:space="0" w:color="000000"/>
              <w:left w:val="single" w:sz="4" w:space="0" w:color="000000"/>
              <w:bottom w:val="single" w:sz="4" w:space="0" w:color="000000"/>
              <w:right w:val="single" w:sz="4" w:space="0" w:color="000000"/>
            </w:tcBorders>
          </w:tcPr>
          <w:p w14:paraId="466376C0" w14:textId="77777777" w:rsidR="00620527" w:rsidRPr="005D1152" w:rsidRDefault="00620527" w:rsidP="005D1152">
            <w:pPr>
              <w:spacing w:after="0" w:line="240" w:lineRule="auto"/>
              <w:ind w:left="0" w:right="0" w:firstLine="0"/>
              <w:rPr>
                <w:rFonts w:ascii="Garamond" w:hAnsi="Garamond"/>
                <w:szCs w:val="24"/>
              </w:rPr>
            </w:pPr>
            <w:r w:rsidRPr="005D1152">
              <w:rPr>
                <w:rFonts w:ascii="Garamond" w:hAnsi="Garamond"/>
                <w:b/>
                <w:szCs w:val="24"/>
              </w:rPr>
              <w:t xml:space="preserve">Sottosezione di programmazione Piano Triennale dei Fabbisogni di Personale </w:t>
            </w:r>
          </w:p>
        </w:tc>
        <w:tc>
          <w:tcPr>
            <w:tcW w:w="5499" w:type="dxa"/>
            <w:tcBorders>
              <w:top w:val="single" w:sz="4" w:space="0" w:color="000000"/>
              <w:left w:val="single" w:sz="4" w:space="0" w:color="000000"/>
              <w:bottom w:val="single" w:sz="4" w:space="0" w:color="000000"/>
              <w:right w:val="single" w:sz="4" w:space="0" w:color="000000"/>
            </w:tcBorders>
          </w:tcPr>
          <w:p w14:paraId="70CF8022" w14:textId="19216527" w:rsidR="00620527" w:rsidRPr="005D1152" w:rsidRDefault="00620527" w:rsidP="005D1152">
            <w:pPr>
              <w:spacing w:after="0" w:line="240" w:lineRule="auto"/>
              <w:ind w:left="0" w:right="0" w:firstLine="0"/>
              <w:rPr>
                <w:rFonts w:ascii="Garamond" w:hAnsi="Garamond"/>
                <w:szCs w:val="24"/>
              </w:rPr>
            </w:pPr>
            <w:r w:rsidRPr="000908AC">
              <w:rPr>
                <w:rFonts w:ascii="Garamond" w:hAnsi="Garamond"/>
                <w:szCs w:val="24"/>
              </w:rPr>
              <w:t xml:space="preserve">Piano triennale del fabbisogno del personale </w:t>
            </w:r>
            <w:r w:rsidR="000908AC" w:rsidRPr="000908AC">
              <w:rPr>
                <w:rFonts w:ascii="Garamond" w:hAnsi="Garamond"/>
                <w:szCs w:val="24"/>
              </w:rPr>
              <w:t>2021-2023</w:t>
            </w:r>
            <w:r w:rsidR="00EF449B" w:rsidRPr="000908AC">
              <w:rPr>
                <w:rFonts w:ascii="Garamond" w:hAnsi="Garamond"/>
                <w:szCs w:val="24"/>
              </w:rPr>
              <w:t xml:space="preserve"> </w:t>
            </w:r>
            <w:r w:rsidRPr="000908AC">
              <w:rPr>
                <w:rFonts w:ascii="Garamond" w:hAnsi="Garamond"/>
                <w:szCs w:val="24"/>
              </w:rPr>
              <w:t xml:space="preserve">di cui alla deliberazione di </w:t>
            </w:r>
            <w:r w:rsidR="00EF449B" w:rsidRPr="000908AC">
              <w:rPr>
                <w:rFonts w:ascii="Garamond" w:hAnsi="Garamond"/>
                <w:szCs w:val="24"/>
              </w:rPr>
              <w:t>Giunta Comunale</w:t>
            </w:r>
            <w:r w:rsidR="00EC0EFE" w:rsidRPr="000908AC">
              <w:rPr>
                <w:rFonts w:ascii="Garamond" w:hAnsi="Garamond"/>
                <w:szCs w:val="24"/>
              </w:rPr>
              <w:t xml:space="preserve"> </w:t>
            </w:r>
            <w:r w:rsidRPr="000908AC">
              <w:rPr>
                <w:rFonts w:ascii="Garamond" w:hAnsi="Garamond"/>
                <w:szCs w:val="24"/>
              </w:rPr>
              <w:t xml:space="preserve">n. </w:t>
            </w:r>
            <w:r w:rsidR="000908AC" w:rsidRPr="000908AC">
              <w:rPr>
                <w:rFonts w:ascii="Garamond" w:hAnsi="Garamond"/>
                <w:szCs w:val="24"/>
              </w:rPr>
              <w:t>8</w:t>
            </w:r>
            <w:r w:rsidRPr="000908AC">
              <w:rPr>
                <w:rFonts w:ascii="Garamond" w:hAnsi="Garamond"/>
                <w:szCs w:val="24"/>
              </w:rPr>
              <w:t xml:space="preserve"> del </w:t>
            </w:r>
            <w:r w:rsidR="000908AC" w:rsidRPr="000908AC">
              <w:rPr>
                <w:rFonts w:ascii="Garamond" w:hAnsi="Garamond"/>
                <w:szCs w:val="24"/>
              </w:rPr>
              <w:t>24/02/2021</w:t>
            </w:r>
            <w:r w:rsidRPr="005D1152">
              <w:rPr>
                <w:rFonts w:ascii="Garamond" w:hAnsi="Garamond"/>
                <w:szCs w:val="24"/>
              </w:rPr>
              <w:t xml:space="preserve"> </w:t>
            </w:r>
          </w:p>
          <w:p w14:paraId="63739721" w14:textId="3C29037F" w:rsidR="00620527" w:rsidRPr="005D1152" w:rsidRDefault="00620527" w:rsidP="005D1152">
            <w:pPr>
              <w:spacing w:after="0" w:line="240" w:lineRule="auto"/>
              <w:ind w:left="0" w:right="0" w:firstLine="0"/>
              <w:rPr>
                <w:rFonts w:ascii="Garamond" w:hAnsi="Garamond"/>
                <w:szCs w:val="24"/>
              </w:rPr>
            </w:pPr>
          </w:p>
        </w:tc>
      </w:tr>
      <w:tr w:rsidR="00620527" w:rsidRPr="005D1152" w14:paraId="3CFE3286" w14:textId="77777777" w:rsidTr="00C61363">
        <w:tblPrEx>
          <w:tblCellMar>
            <w:left w:w="109" w:type="dxa"/>
          </w:tblCellMar>
        </w:tblPrEx>
        <w:trPr>
          <w:trHeight w:val="444"/>
        </w:trPr>
        <w:tc>
          <w:tcPr>
            <w:tcW w:w="9626" w:type="dxa"/>
            <w:gridSpan w:val="4"/>
            <w:tcBorders>
              <w:top w:val="single" w:sz="4" w:space="0" w:color="000000"/>
              <w:left w:val="single" w:sz="4" w:space="0" w:color="000000"/>
              <w:bottom w:val="single" w:sz="4" w:space="0" w:color="000000"/>
              <w:right w:val="single" w:sz="4" w:space="0" w:color="000000"/>
            </w:tcBorders>
            <w:shd w:val="clear" w:color="auto" w:fill="D9D9D9"/>
          </w:tcPr>
          <w:p w14:paraId="2BF04E72" w14:textId="000416D3" w:rsidR="00620527" w:rsidRPr="005D1152" w:rsidRDefault="003647D4" w:rsidP="005D1152">
            <w:pPr>
              <w:spacing w:after="0" w:line="240" w:lineRule="auto"/>
              <w:ind w:left="0" w:right="0" w:firstLine="0"/>
              <w:jc w:val="center"/>
              <w:rPr>
                <w:rFonts w:ascii="Garamond" w:hAnsi="Garamond"/>
                <w:szCs w:val="24"/>
              </w:rPr>
            </w:pPr>
            <w:r w:rsidRPr="005D1152">
              <w:rPr>
                <w:rFonts w:ascii="Garamond" w:hAnsi="Garamond"/>
                <w:b/>
                <w:szCs w:val="24"/>
              </w:rPr>
              <w:t>S</w:t>
            </w:r>
            <w:r w:rsidR="00620527" w:rsidRPr="005D1152">
              <w:rPr>
                <w:rFonts w:ascii="Garamond" w:hAnsi="Garamond"/>
                <w:b/>
                <w:szCs w:val="24"/>
              </w:rPr>
              <w:t>EZIONE 4. MONITORAGGIO</w:t>
            </w:r>
            <w:r w:rsidR="00620527" w:rsidRPr="005D1152">
              <w:rPr>
                <w:rFonts w:ascii="Garamond" w:hAnsi="Garamond"/>
                <w:szCs w:val="24"/>
              </w:rPr>
              <w:t xml:space="preserve"> </w:t>
            </w:r>
          </w:p>
        </w:tc>
      </w:tr>
      <w:tr w:rsidR="00620527" w:rsidRPr="005D1152" w14:paraId="50BA452E" w14:textId="77777777" w:rsidTr="00EC0EFE">
        <w:tblPrEx>
          <w:tblCellMar>
            <w:left w:w="109" w:type="dxa"/>
          </w:tblCellMar>
        </w:tblPrEx>
        <w:trPr>
          <w:trHeight w:val="5371"/>
        </w:trPr>
        <w:tc>
          <w:tcPr>
            <w:tcW w:w="9626" w:type="dxa"/>
            <w:gridSpan w:val="4"/>
            <w:tcBorders>
              <w:top w:val="single" w:sz="4" w:space="0" w:color="000000"/>
              <w:left w:val="single" w:sz="4" w:space="0" w:color="000000"/>
              <w:bottom w:val="single" w:sz="4" w:space="0" w:color="000000"/>
              <w:right w:val="single" w:sz="4" w:space="0" w:color="000000"/>
            </w:tcBorders>
          </w:tcPr>
          <w:p w14:paraId="04CA1C27" w14:textId="77777777" w:rsidR="002542E7" w:rsidRPr="005D1152" w:rsidRDefault="002542E7" w:rsidP="005D1152">
            <w:pPr>
              <w:spacing w:after="0" w:line="240" w:lineRule="auto"/>
              <w:ind w:left="0" w:right="0" w:firstLine="0"/>
              <w:rPr>
                <w:rFonts w:ascii="Garamond" w:hAnsi="Garamond"/>
                <w:szCs w:val="24"/>
              </w:rPr>
            </w:pPr>
          </w:p>
          <w:p w14:paraId="7EE5009D" w14:textId="2870A72C" w:rsidR="00620527" w:rsidRPr="005D1152" w:rsidRDefault="00620527" w:rsidP="005D1152">
            <w:pPr>
              <w:spacing w:after="0" w:line="240" w:lineRule="auto"/>
              <w:ind w:left="0" w:right="0" w:firstLine="0"/>
              <w:rPr>
                <w:rFonts w:ascii="Garamond" w:hAnsi="Garamond"/>
                <w:szCs w:val="24"/>
              </w:rPr>
            </w:pPr>
            <w:r w:rsidRPr="005D1152">
              <w:rPr>
                <w:rFonts w:ascii="Garamond" w:hAnsi="Garamond"/>
                <w:szCs w:val="24"/>
              </w:rPr>
              <w:t xml:space="preserve">Il monitoraggio del Piano Integrato di Attività e Organizzazione (PIAO), ai sensi dell’art. 6, comma 3 del decreto legge 9 giugno 2021, n. 80, convertito, con modificazioni, in legge 6 agosto 2021, n. 113, nonché delle disposizioni di cui all’art. 5, del Decreto del Ministro per la Pubblica Amministrazione concernente la definizione del contenuto del Piano Integrato di Attività e Organizzazione (PIAO) sarà effettuato: </w:t>
            </w:r>
          </w:p>
          <w:p w14:paraId="3255813F" w14:textId="77777777" w:rsidR="00620527" w:rsidRPr="005D1152" w:rsidRDefault="00620527" w:rsidP="005D1152">
            <w:pPr>
              <w:numPr>
                <w:ilvl w:val="0"/>
                <w:numId w:val="4"/>
              </w:numPr>
              <w:spacing w:after="0" w:line="240" w:lineRule="auto"/>
              <w:ind w:left="0" w:right="0" w:hanging="360"/>
              <w:rPr>
                <w:rFonts w:ascii="Garamond" w:hAnsi="Garamond"/>
                <w:szCs w:val="24"/>
              </w:rPr>
            </w:pPr>
            <w:r w:rsidRPr="005D1152">
              <w:rPr>
                <w:rFonts w:ascii="Garamond" w:hAnsi="Garamond"/>
                <w:szCs w:val="24"/>
              </w:rPr>
              <w:t xml:space="preserve">secondo le modalità stabilite dagli articoli 6 e 10, comma 1, lett. b) del decreto legislativo 27 ottobre 2009, n. 150, per quanto attiene alle sottosezioni “Valore pubblico” e “Performance”; </w:t>
            </w:r>
          </w:p>
          <w:p w14:paraId="154C0B42" w14:textId="77777777" w:rsidR="00620527" w:rsidRPr="005D1152" w:rsidRDefault="00620527" w:rsidP="005D1152">
            <w:pPr>
              <w:numPr>
                <w:ilvl w:val="0"/>
                <w:numId w:val="4"/>
              </w:numPr>
              <w:spacing w:after="0" w:line="240" w:lineRule="auto"/>
              <w:ind w:left="0" w:right="0" w:hanging="360"/>
              <w:rPr>
                <w:rFonts w:ascii="Garamond" w:hAnsi="Garamond"/>
                <w:szCs w:val="24"/>
              </w:rPr>
            </w:pPr>
            <w:r w:rsidRPr="005D1152">
              <w:rPr>
                <w:rFonts w:ascii="Garamond" w:hAnsi="Garamond"/>
                <w:szCs w:val="24"/>
              </w:rPr>
              <w:t xml:space="preserve">secondo le modalità definite dall’ANAC, relativamente alla sottosezione “Rischi corruttivi e trasparenza”; </w:t>
            </w:r>
          </w:p>
          <w:p w14:paraId="21588D63" w14:textId="77777777" w:rsidR="00620527" w:rsidRPr="005D1152" w:rsidRDefault="00620527" w:rsidP="005D1152">
            <w:pPr>
              <w:numPr>
                <w:ilvl w:val="0"/>
                <w:numId w:val="4"/>
              </w:numPr>
              <w:spacing w:after="0" w:line="240" w:lineRule="auto"/>
              <w:ind w:left="0" w:right="0" w:hanging="360"/>
              <w:rPr>
                <w:rFonts w:ascii="Garamond" w:hAnsi="Garamond"/>
                <w:szCs w:val="24"/>
              </w:rPr>
            </w:pPr>
            <w:r w:rsidRPr="005D1152">
              <w:rPr>
                <w:rFonts w:ascii="Garamond" w:hAnsi="Garamond"/>
                <w:szCs w:val="24"/>
              </w:rPr>
              <w:t xml:space="preserve">su base triennale dall’Organismo Indipendente di Valutazione della performance (OIV) di cui all’articolo 14 del decreto legislativo 27 ottobre 2009, n. 150 o dal Nucleo di valutazione, ai sensi dell’articolo 147 del decreto legislativo 18 agosto 2000, n. 267, relativamente alla Sezione “Organizzazione e capitale umano”, con riferimento alla coerenza con gli obiettivi di performance. </w:t>
            </w:r>
          </w:p>
          <w:p w14:paraId="5D34E176" w14:textId="585F505F" w:rsidR="00620527" w:rsidRPr="005D1152" w:rsidRDefault="00620527" w:rsidP="005D1152">
            <w:pPr>
              <w:spacing w:after="0" w:line="240" w:lineRule="auto"/>
              <w:ind w:left="0" w:right="0" w:firstLine="0"/>
              <w:rPr>
                <w:rFonts w:ascii="Garamond" w:hAnsi="Garamond"/>
                <w:szCs w:val="24"/>
              </w:rPr>
            </w:pPr>
          </w:p>
        </w:tc>
      </w:tr>
    </w:tbl>
    <w:p w14:paraId="13349A4D" w14:textId="77777777" w:rsidR="00537DA9" w:rsidRPr="005D1152" w:rsidRDefault="00537DA9" w:rsidP="005D1152">
      <w:pPr>
        <w:spacing w:after="0" w:line="240" w:lineRule="auto"/>
        <w:ind w:left="0" w:right="0"/>
        <w:rPr>
          <w:rFonts w:ascii="Garamond" w:hAnsi="Garamond"/>
          <w:szCs w:val="24"/>
        </w:rPr>
      </w:pPr>
    </w:p>
    <w:sectPr w:rsidR="00537DA9" w:rsidRPr="005D11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05E18"/>
    <w:multiLevelType w:val="hybridMultilevel"/>
    <w:tmpl w:val="0C6E24EA"/>
    <w:lvl w:ilvl="0" w:tplc="A5D44D9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1A8708">
      <w:start w:val="1"/>
      <w:numFmt w:val="bullet"/>
      <w:lvlText w:val="o"/>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EA3ED2">
      <w:start w:val="1"/>
      <w:numFmt w:val="bullet"/>
      <w:lvlText w:val="▪"/>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4865B8">
      <w:start w:val="1"/>
      <w:numFmt w:val="bullet"/>
      <w:lvlText w:val="•"/>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D2204A">
      <w:start w:val="1"/>
      <w:numFmt w:val="bullet"/>
      <w:lvlText w:val="o"/>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EA9674">
      <w:start w:val="1"/>
      <w:numFmt w:val="bullet"/>
      <w:lvlText w:val="▪"/>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5E19BE">
      <w:start w:val="1"/>
      <w:numFmt w:val="bullet"/>
      <w:lvlText w:val="•"/>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127FD2">
      <w:start w:val="1"/>
      <w:numFmt w:val="bullet"/>
      <w:lvlText w:val="o"/>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BE0E10">
      <w:start w:val="1"/>
      <w:numFmt w:val="bullet"/>
      <w:lvlText w:val="▪"/>
      <w:lvlJc w:val="left"/>
      <w:pPr>
        <w:ind w:left="6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106EDD"/>
    <w:multiLevelType w:val="hybridMultilevel"/>
    <w:tmpl w:val="FFFFFFFF"/>
    <w:lvl w:ilvl="0" w:tplc="058661F6">
      <w:start w:val="1"/>
      <w:numFmt w:val="bullet"/>
      <w:lvlText w:val="-"/>
      <w:lvlJc w:val="left"/>
      <w:pPr>
        <w:ind w:left="345" w:hanging="360"/>
      </w:pPr>
      <w:rPr>
        <w:rFonts w:ascii="Calibri" w:eastAsia="Times New Roman" w:hAnsi="Calibri" w:cs="Times New Roman" w:hint="default"/>
      </w:rPr>
    </w:lvl>
    <w:lvl w:ilvl="1" w:tplc="04100003">
      <w:start w:val="1"/>
      <w:numFmt w:val="bullet"/>
      <w:lvlText w:val="o"/>
      <w:lvlJc w:val="left"/>
      <w:pPr>
        <w:ind w:left="1065" w:hanging="360"/>
      </w:pPr>
      <w:rPr>
        <w:rFonts w:ascii="Courier New" w:hAnsi="Courier New" w:cs="Times New Roman" w:hint="default"/>
      </w:rPr>
    </w:lvl>
    <w:lvl w:ilvl="2" w:tplc="04100005">
      <w:start w:val="1"/>
      <w:numFmt w:val="bullet"/>
      <w:lvlText w:val=""/>
      <w:lvlJc w:val="left"/>
      <w:pPr>
        <w:ind w:left="1785" w:hanging="360"/>
      </w:pPr>
      <w:rPr>
        <w:rFonts w:ascii="Wingdings" w:hAnsi="Wingdings" w:hint="default"/>
      </w:rPr>
    </w:lvl>
    <w:lvl w:ilvl="3" w:tplc="04100001">
      <w:start w:val="1"/>
      <w:numFmt w:val="bullet"/>
      <w:lvlText w:val=""/>
      <w:lvlJc w:val="left"/>
      <w:pPr>
        <w:ind w:left="2505" w:hanging="360"/>
      </w:pPr>
      <w:rPr>
        <w:rFonts w:ascii="Symbol" w:hAnsi="Symbol" w:hint="default"/>
      </w:rPr>
    </w:lvl>
    <w:lvl w:ilvl="4" w:tplc="04100003">
      <w:start w:val="1"/>
      <w:numFmt w:val="bullet"/>
      <w:lvlText w:val="o"/>
      <w:lvlJc w:val="left"/>
      <w:pPr>
        <w:ind w:left="3225" w:hanging="360"/>
      </w:pPr>
      <w:rPr>
        <w:rFonts w:ascii="Courier New" w:hAnsi="Courier New" w:cs="Times New Roman" w:hint="default"/>
      </w:rPr>
    </w:lvl>
    <w:lvl w:ilvl="5" w:tplc="04100005">
      <w:start w:val="1"/>
      <w:numFmt w:val="bullet"/>
      <w:lvlText w:val=""/>
      <w:lvlJc w:val="left"/>
      <w:pPr>
        <w:ind w:left="3945" w:hanging="360"/>
      </w:pPr>
      <w:rPr>
        <w:rFonts w:ascii="Wingdings" w:hAnsi="Wingdings" w:hint="default"/>
      </w:rPr>
    </w:lvl>
    <w:lvl w:ilvl="6" w:tplc="04100001">
      <w:start w:val="1"/>
      <w:numFmt w:val="bullet"/>
      <w:lvlText w:val=""/>
      <w:lvlJc w:val="left"/>
      <w:pPr>
        <w:ind w:left="4665" w:hanging="360"/>
      </w:pPr>
      <w:rPr>
        <w:rFonts w:ascii="Symbol" w:hAnsi="Symbol" w:hint="default"/>
      </w:rPr>
    </w:lvl>
    <w:lvl w:ilvl="7" w:tplc="04100003">
      <w:start w:val="1"/>
      <w:numFmt w:val="bullet"/>
      <w:lvlText w:val="o"/>
      <w:lvlJc w:val="left"/>
      <w:pPr>
        <w:ind w:left="5385" w:hanging="360"/>
      </w:pPr>
      <w:rPr>
        <w:rFonts w:ascii="Courier New" w:hAnsi="Courier New" w:cs="Times New Roman" w:hint="default"/>
      </w:rPr>
    </w:lvl>
    <w:lvl w:ilvl="8" w:tplc="04100005">
      <w:start w:val="1"/>
      <w:numFmt w:val="bullet"/>
      <w:lvlText w:val=""/>
      <w:lvlJc w:val="left"/>
      <w:pPr>
        <w:ind w:left="6105" w:hanging="360"/>
      </w:pPr>
      <w:rPr>
        <w:rFonts w:ascii="Wingdings" w:hAnsi="Wingdings" w:hint="default"/>
      </w:rPr>
    </w:lvl>
  </w:abstractNum>
  <w:abstractNum w:abstractNumId="2" w15:restartNumberingAfterBreak="0">
    <w:nsid w:val="427A056B"/>
    <w:multiLevelType w:val="hybridMultilevel"/>
    <w:tmpl w:val="20C46CCC"/>
    <w:lvl w:ilvl="0" w:tplc="29FC2C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809A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044DD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9A173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52F55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7422A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DE1BF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EE80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D879D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2867F0B"/>
    <w:multiLevelType w:val="hybridMultilevel"/>
    <w:tmpl w:val="48C03D84"/>
    <w:lvl w:ilvl="0" w:tplc="717C01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065CAE">
      <w:start w:val="1"/>
      <w:numFmt w:val="bullet"/>
      <w:lvlText w:val="o"/>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0EF752">
      <w:start w:val="1"/>
      <w:numFmt w:val="bullet"/>
      <w:lvlText w:val="▪"/>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5603C4">
      <w:start w:val="1"/>
      <w:numFmt w:val="bullet"/>
      <w:lvlText w:val="•"/>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8E9372">
      <w:start w:val="1"/>
      <w:numFmt w:val="bullet"/>
      <w:lvlText w:val="o"/>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5C8BAE">
      <w:start w:val="1"/>
      <w:numFmt w:val="bullet"/>
      <w:lvlText w:val="▪"/>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DEEB64">
      <w:start w:val="1"/>
      <w:numFmt w:val="bullet"/>
      <w:lvlText w:val="•"/>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21B98">
      <w:start w:val="1"/>
      <w:numFmt w:val="bullet"/>
      <w:lvlText w:val="o"/>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F16">
      <w:start w:val="1"/>
      <w:numFmt w:val="bullet"/>
      <w:lvlText w:val="▪"/>
      <w:lvlJc w:val="left"/>
      <w:pPr>
        <w:ind w:left="6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59D4CA5"/>
    <w:multiLevelType w:val="hybridMultilevel"/>
    <w:tmpl w:val="38F8E1C8"/>
    <w:lvl w:ilvl="0" w:tplc="6DD29AE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7814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0C2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6653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B02C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0C950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4666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1A257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B662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69806654">
    <w:abstractNumId w:val="2"/>
  </w:num>
  <w:num w:numId="2" w16cid:durableId="1445732669">
    <w:abstractNumId w:val="4"/>
  </w:num>
  <w:num w:numId="3" w16cid:durableId="2099977192">
    <w:abstractNumId w:val="3"/>
  </w:num>
  <w:num w:numId="4" w16cid:durableId="1796558137">
    <w:abstractNumId w:val="0"/>
  </w:num>
  <w:num w:numId="5" w16cid:durableId="171144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527"/>
    <w:rsid w:val="000908AC"/>
    <w:rsid w:val="001B54B5"/>
    <w:rsid w:val="00215E8A"/>
    <w:rsid w:val="002542E7"/>
    <w:rsid w:val="00360670"/>
    <w:rsid w:val="003647D4"/>
    <w:rsid w:val="00483CEB"/>
    <w:rsid w:val="00537DA9"/>
    <w:rsid w:val="005D1152"/>
    <w:rsid w:val="00620527"/>
    <w:rsid w:val="00EC0EFE"/>
    <w:rsid w:val="00EC10DC"/>
    <w:rsid w:val="00EC1C63"/>
    <w:rsid w:val="00EF449B"/>
    <w:rsid w:val="00FC3A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98B0"/>
  <w15:docId w15:val="{B4871DAC-57F1-4EB0-ACA1-8C3A1A5D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0527"/>
    <w:pPr>
      <w:spacing w:after="126" w:line="271" w:lineRule="auto"/>
      <w:ind w:left="10" w:right="1" w:hanging="10"/>
      <w:jc w:val="both"/>
    </w:pPr>
    <w:rPr>
      <w:rFonts w:ascii="Times New Roman" w:eastAsia="Times New Roman" w:hAnsi="Times New Roman" w:cs="Times New Roman"/>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rsid w:val="00620527"/>
    <w:pPr>
      <w:spacing w:after="0" w:line="240" w:lineRule="auto"/>
    </w:pPr>
    <w:rPr>
      <w:rFonts w:eastAsiaTheme="minorEastAsia"/>
      <w:lang w:eastAsia="it-IT"/>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EC10DC"/>
    <w:rPr>
      <w:color w:val="0563C1" w:themeColor="hyperlink"/>
      <w:u w:val="single"/>
    </w:rPr>
  </w:style>
  <w:style w:type="character" w:customStyle="1" w:styleId="Menzionenonrisolta1">
    <w:name w:val="Menzione non risolta1"/>
    <w:basedOn w:val="Carpredefinitoparagrafo"/>
    <w:uiPriority w:val="99"/>
    <w:semiHidden/>
    <w:unhideWhenUsed/>
    <w:rsid w:val="00EC10DC"/>
    <w:rPr>
      <w:color w:val="605E5C"/>
      <w:shd w:val="clear" w:color="auto" w:fill="E1DFDD"/>
    </w:rPr>
  </w:style>
  <w:style w:type="paragraph" w:styleId="NormaleWeb">
    <w:name w:val="Normal (Web)"/>
    <w:basedOn w:val="Normale"/>
    <w:uiPriority w:val="99"/>
    <w:semiHidden/>
    <w:unhideWhenUsed/>
    <w:rsid w:val="00483CEB"/>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77377">
      <w:bodyDiv w:val="1"/>
      <w:marLeft w:val="0"/>
      <w:marRight w:val="0"/>
      <w:marTop w:val="0"/>
      <w:marBottom w:val="0"/>
      <w:divBdr>
        <w:top w:val="none" w:sz="0" w:space="0" w:color="auto"/>
        <w:left w:val="none" w:sz="0" w:space="0" w:color="auto"/>
        <w:bottom w:val="none" w:sz="0" w:space="0" w:color="auto"/>
        <w:right w:val="none" w:sz="0" w:space="0" w:color="auto"/>
      </w:divBdr>
    </w:div>
    <w:div w:id="99719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nzionepubblica.gov.it/sites/funzionepubblica.gov.it/files/DM_PIAO_24_giugno_2022_0.pdf" TargetMode="External"/><Relationship Id="rId5" Type="http://schemas.openxmlformats.org/officeDocument/2006/relationships/hyperlink" Target="https://www.neopa.it/sites/default/files/allegati/2022/decreto-fl-28-07-2022.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1410</Words>
  <Characters>8043</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Ragioneria Castelveccana</dc:creator>
  <cp:keywords/>
  <dc:description/>
  <cp:lastModifiedBy>Tributi</cp:lastModifiedBy>
  <cp:revision>11</cp:revision>
  <cp:lastPrinted>2022-09-29T15:45:00Z</cp:lastPrinted>
  <dcterms:created xsi:type="dcterms:W3CDTF">2022-09-29T15:23:00Z</dcterms:created>
  <dcterms:modified xsi:type="dcterms:W3CDTF">2022-11-30T11:19:00Z</dcterms:modified>
</cp:coreProperties>
</file>