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610D" w:rsidRPr="00D71CFA" w14:paraId="029009E5" w14:textId="77777777" w:rsidTr="00331AB4">
        <w:tc>
          <w:tcPr>
            <w:tcW w:w="10343" w:type="dxa"/>
            <w:shd w:val="clear" w:color="auto" w:fill="FAE2D5"/>
          </w:tcPr>
          <w:p w14:paraId="4FD6E806" w14:textId="62A6D22C" w:rsidR="006A610D" w:rsidRPr="00D71CFA" w:rsidRDefault="006A610D" w:rsidP="00331AB4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 xml:space="preserve">Scheda n. </w:t>
            </w:r>
            <w:r w:rsidR="009A4759">
              <w:rPr>
                <w:rFonts w:eastAsia="Aptos"/>
                <w:b/>
                <w:bCs/>
                <w:szCs w:val="24"/>
              </w:rPr>
              <w:t>06.1.1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(PIAO 2025)</w:t>
            </w:r>
          </w:p>
        </w:tc>
      </w:tr>
      <w:tr w:rsidR="006A610D" w:rsidRPr="00D71CFA" w14:paraId="0871E112" w14:textId="77777777" w:rsidTr="00331AB4">
        <w:tc>
          <w:tcPr>
            <w:tcW w:w="10343" w:type="dxa"/>
            <w:shd w:val="clear" w:color="auto" w:fill="FAE2D5"/>
          </w:tcPr>
          <w:p w14:paraId="6AD85641" w14:textId="77777777" w:rsidR="006A610D" w:rsidRPr="00D71CFA" w:rsidRDefault="006A610D" w:rsidP="00331AB4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13D437D9" w14:textId="77777777" w:rsidR="006A610D" w:rsidRPr="00D71CFA" w:rsidRDefault="006A610D" w:rsidP="006A610D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6A610D" w:rsidRPr="00D71CFA" w14:paraId="79B0FC9E" w14:textId="77777777" w:rsidTr="00331AB4">
        <w:tc>
          <w:tcPr>
            <w:tcW w:w="9628" w:type="dxa"/>
            <w:gridSpan w:val="3"/>
          </w:tcPr>
          <w:p w14:paraId="4F6F3E2C" w14:textId="77777777"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6A610D" w:rsidRPr="00D71CFA" w14:paraId="7241B770" w14:textId="77777777" w:rsidTr="00331AB4">
        <w:tc>
          <w:tcPr>
            <w:tcW w:w="4814" w:type="dxa"/>
            <w:gridSpan w:val="2"/>
            <w:shd w:val="clear" w:color="auto" w:fill="DAE9F7"/>
          </w:tcPr>
          <w:p w14:paraId="15D8230D" w14:textId="77777777"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1FC561B2" w14:textId="77777777"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6A610D" w:rsidRPr="00D71CFA" w14:paraId="0E8A4459" w14:textId="77777777" w:rsidTr="00331AB4">
        <w:tc>
          <w:tcPr>
            <w:tcW w:w="4814" w:type="dxa"/>
            <w:gridSpan w:val="2"/>
            <w:vAlign w:val="center"/>
          </w:tcPr>
          <w:p w14:paraId="5E27325B" w14:textId="77777777"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 xml:space="preserve">Sanzioni e provvedimenti amministrativi </w:t>
            </w:r>
          </w:p>
        </w:tc>
        <w:tc>
          <w:tcPr>
            <w:tcW w:w="4814" w:type="dxa"/>
            <w:vAlign w:val="center"/>
          </w:tcPr>
          <w:p w14:paraId="20C3B1D7" w14:textId="77777777" w:rsidR="006A610D" w:rsidRPr="00D71CFA" w:rsidRDefault="006A610D" w:rsidP="00331AB4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Gestione delle sanzioni per violazioni del codice della strada</w:t>
            </w:r>
          </w:p>
        </w:tc>
      </w:tr>
      <w:tr w:rsidR="006A610D" w:rsidRPr="00D71CFA" w14:paraId="3FB0EE58" w14:textId="77777777" w:rsidTr="00331AB4">
        <w:tc>
          <w:tcPr>
            <w:tcW w:w="3324" w:type="dxa"/>
            <w:shd w:val="clear" w:color="auto" w:fill="DAE9F7"/>
            <w:vAlign w:val="center"/>
          </w:tcPr>
          <w:p w14:paraId="696CC97F" w14:textId="77777777" w:rsidR="006A610D" w:rsidRPr="00D71CFA" w:rsidRDefault="006A610D" w:rsidP="00331AB4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0D7AEBB3" w14:textId="14A3923F" w:rsidR="006A610D" w:rsidRPr="00D71CFA" w:rsidRDefault="009A4759" w:rsidP="00331AB4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 w:rsidRPr="00295298">
              <w:rPr>
                <w:rFonts w:eastAsia="Aptos"/>
                <w:b/>
                <w:bCs/>
                <w:i/>
                <w:iCs/>
                <w:szCs w:val="24"/>
              </w:rPr>
              <w:t>Ufficio Polizia Locale</w:t>
            </w:r>
          </w:p>
        </w:tc>
      </w:tr>
    </w:tbl>
    <w:p w14:paraId="01B48847" w14:textId="77777777" w:rsidR="006A610D" w:rsidRPr="00D71CFA" w:rsidRDefault="006A610D" w:rsidP="006A610D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610D" w:rsidRPr="00D71CFA" w14:paraId="026E770D" w14:textId="77777777" w:rsidTr="00331AB4">
        <w:tc>
          <w:tcPr>
            <w:tcW w:w="10343" w:type="dxa"/>
            <w:shd w:val="clear" w:color="auto" w:fill="auto"/>
          </w:tcPr>
          <w:p w14:paraId="05DCCB43" w14:textId="77777777" w:rsidR="006A610D" w:rsidRPr="00D71CFA" w:rsidRDefault="006A610D" w:rsidP="00331AB4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6A610D" w:rsidRPr="00D71CFA" w14:paraId="5DEE1CB4" w14:textId="77777777" w:rsidTr="00331AB4">
        <w:tc>
          <w:tcPr>
            <w:tcW w:w="10343" w:type="dxa"/>
            <w:shd w:val="clear" w:color="auto" w:fill="DAE9F7"/>
          </w:tcPr>
          <w:p w14:paraId="62D9F08C" w14:textId="77777777" w:rsidR="006A610D" w:rsidRPr="00D71CFA" w:rsidRDefault="006A610D" w:rsidP="00331AB4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6A610D" w:rsidRPr="00D71CFA" w14:paraId="548CFD6B" w14:textId="77777777" w:rsidTr="00331AB4">
        <w:tc>
          <w:tcPr>
            <w:tcW w:w="10343" w:type="dxa"/>
          </w:tcPr>
          <w:p w14:paraId="12D01A48" w14:textId="77777777" w:rsidR="006A610D" w:rsidRPr="00D71CFA" w:rsidRDefault="006A610D" w:rsidP="00331AB4">
            <w:pPr>
              <w:rPr>
                <w:rFonts w:eastAsia="Aptos"/>
                <w:b/>
                <w:i/>
                <w:iCs/>
              </w:rPr>
            </w:pPr>
            <w:r w:rsidRPr="00022218">
              <w:rPr>
                <w:rFonts w:eastAsia="Aptos"/>
                <w:b/>
                <w:i/>
                <w:iCs/>
              </w:rPr>
              <w:t>Omessa registrazione della sanzione</w:t>
            </w:r>
          </w:p>
        </w:tc>
      </w:tr>
    </w:tbl>
    <w:p w14:paraId="3FE2D3BA" w14:textId="77777777" w:rsidR="006A610D" w:rsidRPr="00D71CFA" w:rsidRDefault="006A610D" w:rsidP="006A610D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9"/>
        <w:gridCol w:w="1040"/>
        <w:gridCol w:w="2409"/>
        <w:gridCol w:w="1115"/>
        <w:gridCol w:w="1766"/>
        <w:gridCol w:w="789"/>
      </w:tblGrid>
      <w:tr w:rsidR="006A610D" w:rsidRPr="00D71CFA" w14:paraId="11841F14" w14:textId="77777777" w:rsidTr="00331AB4">
        <w:tc>
          <w:tcPr>
            <w:tcW w:w="10343" w:type="dxa"/>
            <w:gridSpan w:val="6"/>
            <w:shd w:val="clear" w:color="auto" w:fill="DAE9F7"/>
          </w:tcPr>
          <w:p w14:paraId="7BE168F3" w14:textId="77777777" w:rsidR="006A610D" w:rsidRPr="00D71CFA" w:rsidRDefault="006A610D" w:rsidP="00331AB4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6A610D" w:rsidRPr="00D71CFA" w14:paraId="2F6CDCC5" w14:textId="77777777" w:rsidTr="00331AB4">
        <w:tc>
          <w:tcPr>
            <w:tcW w:w="10343" w:type="dxa"/>
            <w:gridSpan w:val="6"/>
          </w:tcPr>
          <w:p w14:paraId="14A8EBDB" w14:textId="77777777" w:rsidR="006A610D" w:rsidRPr="00D71CFA" w:rsidRDefault="006A610D" w:rsidP="00331AB4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6A610D" w:rsidRPr="00D71CFA" w14:paraId="74F5541B" w14:textId="77777777" w:rsidTr="00331AB4">
        <w:tc>
          <w:tcPr>
            <w:tcW w:w="9493" w:type="dxa"/>
            <w:gridSpan w:val="5"/>
          </w:tcPr>
          <w:p w14:paraId="7E5E2B7C" w14:textId="77777777"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7DB71D8B" w14:textId="5FCF5B5A" w:rsidR="006A610D" w:rsidRPr="00D71CFA" w:rsidRDefault="00796947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A610D" w:rsidRPr="00D71CFA" w14:paraId="36D617E8" w14:textId="77777777" w:rsidTr="00331AB4">
        <w:tc>
          <w:tcPr>
            <w:tcW w:w="9493" w:type="dxa"/>
            <w:gridSpan w:val="5"/>
          </w:tcPr>
          <w:p w14:paraId="02A87E55" w14:textId="77777777"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1503335C" w14:textId="30F06BE8" w:rsidR="006A610D" w:rsidRPr="00D71CFA" w:rsidRDefault="00796947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A610D" w:rsidRPr="00D71CFA" w14:paraId="4901A1AA" w14:textId="77777777" w:rsidTr="00331AB4">
        <w:tc>
          <w:tcPr>
            <w:tcW w:w="9493" w:type="dxa"/>
            <w:gridSpan w:val="5"/>
          </w:tcPr>
          <w:p w14:paraId="4E5FF4B3" w14:textId="77777777"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523B5390" w14:textId="12685F74" w:rsidR="006A610D" w:rsidRPr="00D71CFA" w:rsidRDefault="00796947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6A610D" w:rsidRPr="00D71CFA" w14:paraId="69A8EF39" w14:textId="77777777" w:rsidTr="00331AB4">
        <w:tc>
          <w:tcPr>
            <w:tcW w:w="9493" w:type="dxa"/>
            <w:gridSpan w:val="5"/>
          </w:tcPr>
          <w:p w14:paraId="5EA3D53E" w14:textId="77777777"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4E38873C" w14:textId="77777777"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6A610D" w:rsidRPr="00D71CFA" w14:paraId="71F6A2D9" w14:textId="77777777" w:rsidTr="00331AB4">
        <w:tc>
          <w:tcPr>
            <w:tcW w:w="9493" w:type="dxa"/>
            <w:gridSpan w:val="5"/>
          </w:tcPr>
          <w:p w14:paraId="10EE432A" w14:textId="77777777"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F93537D" w14:textId="49229325" w:rsidR="006A610D" w:rsidRPr="00D71CFA" w:rsidRDefault="00796947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6A610D" w:rsidRPr="00D71CFA" w14:paraId="1DC593FC" w14:textId="77777777" w:rsidTr="00331AB4">
        <w:tc>
          <w:tcPr>
            <w:tcW w:w="9493" w:type="dxa"/>
            <w:gridSpan w:val="5"/>
          </w:tcPr>
          <w:p w14:paraId="1DD240C4" w14:textId="77777777"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260B6244" w14:textId="4E73E083" w:rsidR="006A610D" w:rsidRPr="00D71CFA" w:rsidRDefault="00796947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6A610D" w:rsidRPr="00D71CFA" w14:paraId="04E549CE" w14:textId="77777777" w:rsidTr="00331AB4">
        <w:trPr>
          <w:trHeight w:val="473"/>
        </w:trPr>
        <w:tc>
          <w:tcPr>
            <w:tcW w:w="2689" w:type="dxa"/>
            <w:vAlign w:val="center"/>
          </w:tcPr>
          <w:p w14:paraId="3FCAF6C0" w14:textId="77777777" w:rsidR="006A610D" w:rsidRPr="00D71CFA" w:rsidRDefault="006A610D" w:rsidP="00331AB4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6868F32C" w14:textId="5AD920CA" w:rsidR="006A610D" w:rsidRPr="00D71CFA" w:rsidRDefault="00796947" w:rsidP="00331AB4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1,1</w:t>
            </w:r>
          </w:p>
        </w:tc>
        <w:tc>
          <w:tcPr>
            <w:tcW w:w="2577" w:type="dxa"/>
            <w:vAlign w:val="center"/>
          </w:tcPr>
          <w:p w14:paraId="1D45CD82" w14:textId="77777777" w:rsidR="006A610D" w:rsidRPr="00D71CFA" w:rsidRDefault="006A610D" w:rsidP="00331AB4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19E9A4A2" w14:textId="63622922" w:rsidR="006A610D" w:rsidRPr="00D71CFA" w:rsidRDefault="00796947" w:rsidP="00331AB4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2</w:t>
            </w:r>
          </w:p>
        </w:tc>
        <w:tc>
          <w:tcPr>
            <w:tcW w:w="1899" w:type="dxa"/>
            <w:vAlign w:val="center"/>
          </w:tcPr>
          <w:p w14:paraId="335D9B5E" w14:textId="77777777" w:rsidR="006A610D" w:rsidRPr="00D71CFA" w:rsidRDefault="006A610D" w:rsidP="00331AB4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291E27B0" w14:textId="464C0EB3" w:rsidR="006A610D" w:rsidRPr="00D71CFA" w:rsidRDefault="00796947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7</w:t>
            </w:r>
          </w:p>
        </w:tc>
      </w:tr>
      <w:tr w:rsidR="006A610D" w:rsidRPr="00D71CFA" w14:paraId="6617E290" w14:textId="77777777" w:rsidTr="00331AB4">
        <w:tc>
          <w:tcPr>
            <w:tcW w:w="10343" w:type="dxa"/>
            <w:gridSpan w:val="6"/>
          </w:tcPr>
          <w:p w14:paraId="6B4D2685" w14:textId="77777777" w:rsidR="006A610D" w:rsidRPr="00D71CFA" w:rsidRDefault="006A610D" w:rsidP="00331AB4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09CBAF7C" w14:textId="77777777"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3D5BA932" w14:textId="77777777" w:rsidR="006A610D" w:rsidRDefault="006A610D" w:rsidP="006A610D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6A610D" w:rsidRPr="00D71CFA" w14:paraId="659CA847" w14:textId="77777777" w:rsidTr="00331AB4">
        <w:tc>
          <w:tcPr>
            <w:tcW w:w="9628" w:type="dxa"/>
            <w:gridSpan w:val="2"/>
          </w:tcPr>
          <w:p w14:paraId="0076B8D0" w14:textId="77777777"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6A610D" w:rsidRPr="00D71CFA" w14:paraId="374934BB" w14:textId="77777777" w:rsidTr="00331AB4">
        <w:tc>
          <w:tcPr>
            <w:tcW w:w="9628" w:type="dxa"/>
            <w:gridSpan w:val="2"/>
            <w:shd w:val="clear" w:color="auto" w:fill="FAE2D5"/>
          </w:tcPr>
          <w:p w14:paraId="45F085C8" w14:textId="77777777"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A610D" w:rsidRPr="00D71CFA" w14:paraId="477A5171" w14:textId="77777777" w:rsidTr="00331AB4">
        <w:tc>
          <w:tcPr>
            <w:tcW w:w="9628" w:type="dxa"/>
            <w:gridSpan w:val="2"/>
          </w:tcPr>
          <w:p w14:paraId="0E78B311" w14:textId="77777777" w:rsidR="006A610D" w:rsidRPr="00D71CFA" w:rsidRDefault="006A610D" w:rsidP="00331AB4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Confronto tra blocco verbali e banca dati</w:t>
            </w:r>
          </w:p>
        </w:tc>
      </w:tr>
      <w:tr w:rsidR="006A610D" w:rsidRPr="00D71CFA" w14:paraId="2D553210" w14:textId="77777777" w:rsidTr="00331AB4">
        <w:tc>
          <w:tcPr>
            <w:tcW w:w="4505" w:type="dxa"/>
            <w:shd w:val="clear" w:color="auto" w:fill="DAE9F7"/>
          </w:tcPr>
          <w:p w14:paraId="3A9333B8" w14:textId="77777777"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3C33E140" w14:textId="77777777"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A610D" w:rsidRPr="00D71CFA" w14:paraId="049AB4CD" w14:textId="77777777" w:rsidTr="00331AB4">
        <w:tc>
          <w:tcPr>
            <w:tcW w:w="4505" w:type="dxa"/>
            <w:vAlign w:val="center"/>
          </w:tcPr>
          <w:p w14:paraId="386E532C" w14:textId="77777777" w:rsidR="006A610D" w:rsidRPr="00D71CFA" w:rsidRDefault="006A610D" w:rsidP="00331AB4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7B79A422" w14:textId="77777777" w:rsidR="006A610D" w:rsidRPr="00DA1F3A" w:rsidRDefault="006A610D" w:rsidP="00331AB4">
            <w:pP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</w:pPr>
            <w:r w:rsidRPr="00DA1F3A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 xml:space="preserve">n. di verifiche trimestrali e a campione </w:t>
            </w:r>
          </w:p>
        </w:tc>
      </w:tr>
    </w:tbl>
    <w:p w14:paraId="3E16C71B" w14:textId="77777777" w:rsidR="006A610D" w:rsidRPr="00D71CFA" w:rsidRDefault="006A610D" w:rsidP="006A610D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6A610D" w:rsidRPr="00D71CFA" w14:paraId="7E1C6A91" w14:textId="77777777" w:rsidTr="00331AB4">
        <w:tc>
          <w:tcPr>
            <w:tcW w:w="10343" w:type="dxa"/>
            <w:gridSpan w:val="3"/>
            <w:shd w:val="clear" w:color="auto" w:fill="FFFFFF"/>
          </w:tcPr>
          <w:p w14:paraId="0AE13E37" w14:textId="77777777"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6A610D" w:rsidRPr="00D71CFA" w14:paraId="133E0889" w14:textId="77777777" w:rsidTr="00331AB4">
        <w:tc>
          <w:tcPr>
            <w:tcW w:w="2689" w:type="dxa"/>
            <w:shd w:val="clear" w:color="auto" w:fill="DAE9F7"/>
          </w:tcPr>
          <w:p w14:paraId="23312B6C" w14:textId="77777777"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305B93B2" w14:textId="77777777"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443DD5C0" w14:textId="77777777"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6A610D" w:rsidRPr="00D71CFA" w14:paraId="0D28B818" w14:textId="77777777" w:rsidTr="00331AB4">
        <w:tc>
          <w:tcPr>
            <w:tcW w:w="2689" w:type="dxa"/>
          </w:tcPr>
          <w:p w14:paraId="4DDA24D1" w14:textId="77777777"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44C356D8" w14:textId="77777777"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14E76C0C" w14:textId="77777777"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6A610D" w:rsidRPr="00D71CFA" w14:paraId="6C8191D4" w14:textId="77777777" w:rsidTr="00331AB4">
        <w:tc>
          <w:tcPr>
            <w:tcW w:w="2689" w:type="dxa"/>
            <w:vAlign w:val="center"/>
          </w:tcPr>
          <w:p w14:paraId="6E2B18E1" w14:textId="77777777"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0666575E" w14:textId="77777777"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F326CB8" w14:textId="77777777"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</w:p>
        </w:tc>
      </w:tr>
      <w:tr w:rsidR="006A610D" w:rsidRPr="00D71CFA" w14:paraId="24D808B3" w14:textId="77777777" w:rsidTr="00331AB4">
        <w:tc>
          <w:tcPr>
            <w:tcW w:w="10343" w:type="dxa"/>
            <w:gridSpan w:val="3"/>
            <w:shd w:val="clear" w:color="auto" w:fill="DAE9F7"/>
          </w:tcPr>
          <w:p w14:paraId="41C45AB1" w14:textId="77777777"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6A610D" w:rsidRPr="00D71CFA" w14:paraId="3F1340EB" w14:textId="77777777" w:rsidTr="00331AB4">
        <w:tc>
          <w:tcPr>
            <w:tcW w:w="10343" w:type="dxa"/>
            <w:gridSpan w:val="3"/>
          </w:tcPr>
          <w:p w14:paraId="0ED2910C" w14:textId="77777777"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60AE3CC1" w14:textId="77777777" w:rsidR="006A610D" w:rsidRDefault="006A610D" w:rsidP="006A610D">
      <w: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610D" w:rsidRPr="00D71CFA" w14:paraId="7CDA421E" w14:textId="77777777" w:rsidTr="00331AB4">
        <w:tc>
          <w:tcPr>
            <w:tcW w:w="10343" w:type="dxa"/>
            <w:shd w:val="clear" w:color="auto" w:fill="FAE2D5"/>
          </w:tcPr>
          <w:p w14:paraId="175D9999" w14:textId="30382002" w:rsidR="006A610D" w:rsidRPr="00D71CFA" w:rsidRDefault="006A610D" w:rsidP="00331AB4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9A4759">
              <w:rPr>
                <w:rFonts w:eastAsia="Aptos"/>
                <w:b/>
                <w:bCs/>
                <w:szCs w:val="24"/>
              </w:rPr>
              <w:t>06.1.2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(PIAO 2025)</w:t>
            </w:r>
          </w:p>
        </w:tc>
      </w:tr>
      <w:tr w:rsidR="006A610D" w:rsidRPr="00D71CFA" w14:paraId="718BAA1F" w14:textId="77777777" w:rsidTr="00331AB4">
        <w:tc>
          <w:tcPr>
            <w:tcW w:w="10343" w:type="dxa"/>
            <w:shd w:val="clear" w:color="auto" w:fill="FAE2D5"/>
          </w:tcPr>
          <w:p w14:paraId="5C277A4C" w14:textId="77777777" w:rsidR="006A610D" w:rsidRPr="00D71CFA" w:rsidRDefault="006A610D" w:rsidP="00331AB4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160A5269" w14:textId="77777777" w:rsidR="006A610D" w:rsidRPr="00D71CFA" w:rsidRDefault="006A610D" w:rsidP="006A610D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6A610D" w:rsidRPr="00D71CFA" w14:paraId="4BE728C6" w14:textId="77777777" w:rsidTr="00331AB4">
        <w:tc>
          <w:tcPr>
            <w:tcW w:w="9628" w:type="dxa"/>
            <w:gridSpan w:val="3"/>
          </w:tcPr>
          <w:p w14:paraId="25085665" w14:textId="77777777"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6A610D" w:rsidRPr="00D71CFA" w14:paraId="07DD6034" w14:textId="77777777" w:rsidTr="00331AB4">
        <w:tc>
          <w:tcPr>
            <w:tcW w:w="4814" w:type="dxa"/>
            <w:gridSpan w:val="2"/>
            <w:shd w:val="clear" w:color="auto" w:fill="DAE9F7"/>
          </w:tcPr>
          <w:p w14:paraId="7E1403BA" w14:textId="77777777"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60DFE191" w14:textId="77777777"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6A610D" w:rsidRPr="00D71CFA" w14:paraId="4B685AEC" w14:textId="77777777" w:rsidTr="00331AB4">
        <w:tc>
          <w:tcPr>
            <w:tcW w:w="4814" w:type="dxa"/>
            <w:gridSpan w:val="2"/>
            <w:vAlign w:val="center"/>
          </w:tcPr>
          <w:p w14:paraId="52C06D47" w14:textId="77777777"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 xml:space="preserve">Sanzioni e provvedimenti amministrativi </w:t>
            </w:r>
          </w:p>
        </w:tc>
        <w:tc>
          <w:tcPr>
            <w:tcW w:w="4814" w:type="dxa"/>
            <w:vAlign w:val="center"/>
          </w:tcPr>
          <w:p w14:paraId="3B2D1416" w14:textId="77777777" w:rsidR="006A610D" w:rsidRPr="00D71CFA" w:rsidRDefault="006A610D" w:rsidP="00331AB4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Gestione delle sanzioni per violazioni del codice della strada</w:t>
            </w:r>
          </w:p>
        </w:tc>
      </w:tr>
      <w:tr w:rsidR="006A610D" w:rsidRPr="00D71CFA" w14:paraId="08225C90" w14:textId="77777777" w:rsidTr="00331AB4">
        <w:tc>
          <w:tcPr>
            <w:tcW w:w="3324" w:type="dxa"/>
            <w:shd w:val="clear" w:color="auto" w:fill="DAE9F7"/>
            <w:vAlign w:val="center"/>
          </w:tcPr>
          <w:p w14:paraId="7D74DBC8" w14:textId="77777777" w:rsidR="006A610D" w:rsidRPr="00D71CFA" w:rsidRDefault="006A610D" w:rsidP="00331AB4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072095E0" w14:textId="09BB8640" w:rsidR="006A610D" w:rsidRPr="00D71CFA" w:rsidRDefault="009A4759" w:rsidP="00331AB4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 w:rsidRPr="00295298">
              <w:rPr>
                <w:rFonts w:eastAsia="Aptos"/>
                <w:b/>
                <w:bCs/>
                <w:i/>
                <w:iCs/>
                <w:szCs w:val="24"/>
              </w:rPr>
              <w:t>Ufficio Polizia Locale</w:t>
            </w:r>
          </w:p>
        </w:tc>
      </w:tr>
    </w:tbl>
    <w:p w14:paraId="2945BDE8" w14:textId="77777777" w:rsidR="006A610D" w:rsidRPr="00D71CFA" w:rsidRDefault="006A610D" w:rsidP="006A610D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610D" w:rsidRPr="00D71CFA" w14:paraId="7022AFB6" w14:textId="77777777" w:rsidTr="00331AB4">
        <w:tc>
          <w:tcPr>
            <w:tcW w:w="10343" w:type="dxa"/>
            <w:shd w:val="clear" w:color="auto" w:fill="auto"/>
          </w:tcPr>
          <w:p w14:paraId="73932C98" w14:textId="77777777" w:rsidR="006A610D" w:rsidRPr="00D71CFA" w:rsidRDefault="006A610D" w:rsidP="00331AB4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6A610D" w:rsidRPr="00D71CFA" w14:paraId="2AA3EF81" w14:textId="77777777" w:rsidTr="00331AB4">
        <w:tc>
          <w:tcPr>
            <w:tcW w:w="10343" w:type="dxa"/>
            <w:shd w:val="clear" w:color="auto" w:fill="DAE9F7"/>
          </w:tcPr>
          <w:p w14:paraId="7DBBD9EA" w14:textId="77777777" w:rsidR="006A610D" w:rsidRPr="00D71CFA" w:rsidRDefault="006A610D" w:rsidP="00331AB4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6A610D" w:rsidRPr="00D71CFA" w14:paraId="0BE25597" w14:textId="77777777" w:rsidTr="00331AB4">
        <w:tc>
          <w:tcPr>
            <w:tcW w:w="10343" w:type="dxa"/>
          </w:tcPr>
          <w:p w14:paraId="6E27E753" w14:textId="77777777" w:rsidR="006A610D" w:rsidRPr="00FB681E" w:rsidRDefault="006A610D" w:rsidP="00331AB4">
            <w:pPr>
              <w:rPr>
                <w:rFonts w:eastAsia="Aptos"/>
                <w:b/>
                <w:i/>
                <w:iCs/>
                <w:highlight w:val="yellow"/>
              </w:rPr>
            </w:pPr>
            <w:r w:rsidRPr="00FB681E">
              <w:rPr>
                <w:rFonts w:eastAsia="Aptos"/>
                <w:b/>
                <w:i/>
                <w:iCs/>
              </w:rPr>
              <w:t>Mancata verifica, nella banca dati dedicata, dei punti del trasgressore per l’applicazione della sanzione accessoria della Sospensione breve</w:t>
            </w:r>
          </w:p>
        </w:tc>
      </w:tr>
    </w:tbl>
    <w:p w14:paraId="04FA2DD8" w14:textId="77777777" w:rsidR="006A610D" w:rsidRPr="00D71CFA" w:rsidRDefault="006A610D" w:rsidP="006A610D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9"/>
        <w:gridCol w:w="1034"/>
        <w:gridCol w:w="2411"/>
        <w:gridCol w:w="1116"/>
        <w:gridCol w:w="1768"/>
        <w:gridCol w:w="790"/>
      </w:tblGrid>
      <w:tr w:rsidR="006A610D" w:rsidRPr="00D71CFA" w14:paraId="5791D08B" w14:textId="77777777" w:rsidTr="00331AB4">
        <w:tc>
          <w:tcPr>
            <w:tcW w:w="10343" w:type="dxa"/>
            <w:gridSpan w:val="6"/>
            <w:shd w:val="clear" w:color="auto" w:fill="DAE9F7"/>
          </w:tcPr>
          <w:p w14:paraId="0CBD5C7D" w14:textId="77777777" w:rsidR="006A610D" w:rsidRPr="00D71CFA" w:rsidRDefault="006A610D" w:rsidP="00331AB4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6A610D" w:rsidRPr="00D71CFA" w14:paraId="125AEB32" w14:textId="77777777" w:rsidTr="00331AB4">
        <w:tc>
          <w:tcPr>
            <w:tcW w:w="10343" w:type="dxa"/>
            <w:gridSpan w:val="6"/>
          </w:tcPr>
          <w:p w14:paraId="0FFA59FD" w14:textId="77777777" w:rsidR="006A610D" w:rsidRPr="00D71CFA" w:rsidRDefault="006A610D" w:rsidP="00331AB4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6A610D" w:rsidRPr="00D71CFA" w14:paraId="6E4C3C11" w14:textId="77777777" w:rsidTr="00331AB4">
        <w:tc>
          <w:tcPr>
            <w:tcW w:w="9493" w:type="dxa"/>
            <w:gridSpan w:val="5"/>
          </w:tcPr>
          <w:p w14:paraId="44FD9E0D" w14:textId="77777777"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50A53E1A" w14:textId="27A51F61" w:rsidR="006A610D" w:rsidRPr="00D71CFA" w:rsidRDefault="00796947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A610D" w:rsidRPr="00D71CFA" w14:paraId="054EF509" w14:textId="77777777" w:rsidTr="00331AB4">
        <w:tc>
          <w:tcPr>
            <w:tcW w:w="9493" w:type="dxa"/>
            <w:gridSpan w:val="5"/>
          </w:tcPr>
          <w:p w14:paraId="7DA94318" w14:textId="77777777"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617FF7B6" w14:textId="2DC4645F" w:rsidR="006A610D" w:rsidRPr="00D71CFA" w:rsidRDefault="00796947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A610D" w:rsidRPr="00D71CFA" w14:paraId="7B72F0F2" w14:textId="77777777" w:rsidTr="00331AB4">
        <w:tc>
          <w:tcPr>
            <w:tcW w:w="9493" w:type="dxa"/>
            <w:gridSpan w:val="5"/>
          </w:tcPr>
          <w:p w14:paraId="411B0DAC" w14:textId="77777777"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45E84A30" w14:textId="77777777"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6A610D" w:rsidRPr="00D71CFA" w14:paraId="0FEE8FCC" w14:textId="77777777" w:rsidTr="00331AB4">
        <w:tc>
          <w:tcPr>
            <w:tcW w:w="9493" w:type="dxa"/>
            <w:gridSpan w:val="5"/>
          </w:tcPr>
          <w:p w14:paraId="03926822" w14:textId="77777777"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22B18957" w14:textId="77777777"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6A610D" w:rsidRPr="00D71CFA" w14:paraId="0A52831F" w14:textId="77777777" w:rsidTr="00331AB4">
        <w:tc>
          <w:tcPr>
            <w:tcW w:w="9493" w:type="dxa"/>
            <w:gridSpan w:val="5"/>
          </w:tcPr>
          <w:p w14:paraId="4E0F39A2" w14:textId="77777777"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922E25B" w14:textId="7F5BF179" w:rsidR="006A610D" w:rsidRPr="00D71CFA" w:rsidRDefault="00796947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6A610D" w:rsidRPr="00D71CFA" w14:paraId="508D2890" w14:textId="77777777" w:rsidTr="00331AB4">
        <w:tc>
          <w:tcPr>
            <w:tcW w:w="9493" w:type="dxa"/>
            <w:gridSpan w:val="5"/>
          </w:tcPr>
          <w:p w14:paraId="1A7CE95F" w14:textId="77777777"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4511A253" w14:textId="409A6B86" w:rsidR="006A610D" w:rsidRPr="00D71CFA" w:rsidRDefault="00796947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A610D" w:rsidRPr="00D71CFA" w14:paraId="135BB78E" w14:textId="77777777" w:rsidTr="00331AB4">
        <w:trPr>
          <w:trHeight w:val="473"/>
        </w:trPr>
        <w:tc>
          <w:tcPr>
            <w:tcW w:w="2689" w:type="dxa"/>
            <w:vAlign w:val="center"/>
          </w:tcPr>
          <w:p w14:paraId="5259F10E" w14:textId="77777777" w:rsidR="006A610D" w:rsidRPr="00D71CFA" w:rsidRDefault="006A610D" w:rsidP="00331AB4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5F8190A2" w14:textId="1FD35FAF" w:rsidR="006A610D" w:rsidRPr="00D71CFA" w:rsidRDefault="00796947" w:rsidP="00331AB4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 w:val="20"/>
                <w:szCs w:val="20"/>
              </w:rPr>
              <w:t>1,3</w:t>
            </w:r>
          </w:p>
        </w:tc>
        <w:tc>
          <w:tcPr>
            <w:tcW w:w="2577" w:type="dxa"/>
            <w:vAlign w:val="center"/>
          </w:tcPr>
          <w:p w14:paraId="08967BEF" w14:textId="77777777" w:rsidR="006A610D" w:rsidRPr="00D71CFA" w:rsidRDefault="006A610D" w:rsidP="00331AB4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101D3494" w14:textId="34D12055" w:rsidR="006A610D" w:rsidRPr="00D71CFA" w:rsidRDefault="00796947" w:rsidP="00331AB4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2</w:t>
            </w:r>
          </w:p>
        </w:tc>
        <w:tc>
          <w:tcPr>
            <w:tcW w:w="1899" w:type="dxa"/>
            <w:vAlign w:val="center"/>
          </w:tcPr>
          <w:p w14:paraId="4B76C072" w14:textId="77777777" w:rsidR="006A610D" w:rsidRPr="00D71CFA" w:rsidRDefault="006A610D" w:rsidP="00331AB4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25C1B579" w14:textId="53ECCC56" w:rsidR="006A610D" w:rsidRPr="00D71CFA" w:rsidRDefault="00796947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8</w:t>
            </w:r>
          </w:p>
        </w:tc>
      </w:tr>
      <w:tr w:rsidR="006A610D" w:rsidRPr="00D71CFA" w14:paraId="27BD5D65" w14:textId="77777777" w:rsidTr="00331AB4">
        <w:tc>
          <w:tcPr>
            <w:tcW w:w="10343" w:type="dxa"/>
            <w:gridSpan w:val="6"/>
          </w:tcPr>
          <w:p w14:paraId="409D78D6" w14:textId="77777777" w:rsidR="006A610D" w:rsidRPr="00D71CFA" w:rsidRDefault="006A610D" w:rsidP="00331AB4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743170B2" w14:textId="77777777"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26B4A191" w14:textId="77777777" w:rsidR="006A610D" w:rsidRDefault="006A610D" w:rsidP="006A610D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6A610D" w:rsidRPr="00D71CFA" w14:paraId="740A8122" w14:textId="77777777" w:rsidTr="00331AB4">
        <w:tc>
          <w:tcPr>
            <w:tcW w:w="9628" w:type="dxa"/>
            <w:gridSpan w:val="2"/>
          </w:tcPr>
          <w:p w14:paraId="7AA70227" w14:textId="77777777"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6A610D" w:rsidRPr="00D71CFA" w14:paraId="3CD2598F" w14:textId="77777777" w:rsidTr="00331AB4">
        <w:tc>
          <w:tcPr>
            <w:tcW w:w="9628" w:type="dxa"/>
            <w:gridSpan w:val="2"/>
            <w:shd w:val="clear" w:color="auto" w:fill="FAE2D5"/>
          </w:tcPr>
          <w:p w14:paraId="5208F601" w14:textId="77777777"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A610D" w:rsidRPr="00D71CFA" w14:paraId="7E4B427A" w14:textId="77777777" w:rsidTr="00331AB4">
        <w:tc>
          <w:tcPr>
            <w:tcW w:w="9628" w:type="dxa"/>
            <w:gridSpan w:val="2"/>
          </w:tcPr>
          <w:p w14:paraId="6CC28A94" w14:textId="77777777" w:rsidR="006A610D" w:rsidRPr="00D71CFA" w:rsidRDefault="006A610D" w:rsidP="00331AB4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Adozione di una procedura per la verifica “su strada” dei punti patente in fase di controllo</w:t>
            </w:r>
          </w:p>
        </w:tc>
      </w:tr>
      <w:tr w:rsidR="006A610D" w:rsidRPr="00D71CFA" w14:paraId="4A2870B5" w14:textId="77777777" w:rsidTr="00331AB4">
        <w:tc>
          <w:tcPr>
            <w:tcW w:w="4505" w:type="dxa"/>
            <w:shd w:val="clear" w:color="auto" w:fill="DAE9F7"/>
          </w:tcPr>
          <w:p w14:paraId="2842461F" w14:textId="77777777"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1188DA39" w14:textId="77777777"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A610D" w:rsidRPr="00D71CFA" w14:paraId="226F55F1" w14:textId="77777777" w:rsidTr="00331AB4">
        <w:tc>
          <w:tcPr>
            <w:tcW w:w="4505" w:type="dxa"/>
            <w:vAlign w:val="center"/>
          </w:tcPr>
          <w:p w14:paraId="0C78ABD8" w14:textId="77777777" w:rsidR="006A610D" w:rsidRPr="00D71CFA" w:rsidRDefault="006A610D" w:rsidP="00331AB4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0C653A04" w14:textId="77777777" w:rsidR="006A610D" w:rsidRPr="00DA1F3A" w:rsidRDefault="006A610D" w:rsidP="00331AB4">
            <w:pP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</w:pPr>
            <w:r w:rsidRPr="00DA1F3A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 xml:space="preserve">n. di verifiche trimestrali e a campione </w:t>
            </w:r>
          </w:p>
        </w:tc>
      </w:tr>
    </w:tbl>
    <w:p w14:paraId="2440B1A7" w14:textId="77777777" w:rsidR="006A610D" w:rsidRPr="00D71CFA" w:rsidRDefault="006A610D" w:rsidP="006A610D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6A610D" w:rsidRPr="00D71CFA" w14:paraId="5EE86DEA" w14:textId="77777777" w:rsidTr="00331AB4">
        <w:tc>
          <w:tcPr>
            <w:tcW w:w="10343" w:type="dxa"/>
            <w:gridSpan w:val="3"/>
            <w:shd w:val="clear" w:color="auto" w:fill="FFFFFF"/>
          </w:tcPr>
          <w:p w14:paraId="60EC28DC" w14:textId="77777777"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6A610D" w:rsidRPr="00D71CFA" w14:paraId="71055A27" w14:textId="77777777" w:rsidTr="00331AB4">
        <w:tc>
          <w:tcPr>
            <w:tcW w:w="2689" w:type="dxa"/>
            <w:shd w:val="clear" w:color="auto" w:fill="DAE9F7"/>
          </w:tcPr>
          <w:p w14:paraId="15CD9CBA" w14:textId="77777777"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0C024292" w14:textId="77777777"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4DC09AF4" w14:textId="77777777"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6A610D" w:rsidRPr="00D71CFA" w14:paraId="03998171" w14:textId="77777777" w:rsidTr="00331AB4">
        <w:tc>
          <w:tcPr>
            <w:tcW w:w="2689" w:type="dxa"/>
          </w:tcPr>
          <w:p w14:paraId="7560905D" w14:textId="77777777"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148F25EA" w14:textId="77777777"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52AE4BA9" w14:textId="77777777"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6A610D" w:rsidRPr="00D71CFA" w14:paraId="646FE51B" w14:textId="77777777" w:rsidTr="00331AB4">
        <w:tc>
          <w:tcPr>
            <w:tcW w:w="2689" w:type="dxa"/>
            <w:vAlign w:val="center"/>
          </w:tcPr>
          <w:p w14:paraId="330786DF" w14:textId="77777777"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42CDE30B" w14:textId="77777777"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F8BE227" w14:textId="77777777"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</w:p>
        </w:tc>
      </w:tr>
      <w:tr w:rsidR="006A610D" w:rsidRPr="00D71CFA" w14:paraId="48E1858F" w14:textId="77777777" w:rsidTr="00331AB4">
        <w:tc>
          <w:tcPr>
            <w:tcW w:w="10343" w:type="dxa"/>
            <w:gridSpan w:val="3"/>
            <w:shd w:val="clear" w:color="auto" w:fill="DAE9F7"/>
          </w:tcPr>
          <w:p w14:paraId="33B52F3A" w14:textId="77777777"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6A610D" w:rsidRPr="00D71CFA" w14:paraId="7F011F59" w14:textId="77777777" w:rsidTr="00331AB4">
        <w:tc>
          <w:tcPr>
            <w:tcW w:w="10343" w:type="dxa"/>
            <w:gridSpan w:val="3"/>
          </w:tcPr>
          <w:p w14:paraId="0ECD8F5A" w14:textId="77777777"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691C8740" w14:textId="77777777" w:rsidR="006A610D" w:rsidRDefault="006A610D" w:rsidP="006A610D">
      <w: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610D" w:rsidRPr="00D71CFA" w14:paraId="19C030FE" w14:textId="77777777" w:rsidTr="00331AB4">
        <w:tc>
          <w:tcPr>
            <w:tcW w:w="10343" w:type="dxa"/>
            <w:shd w:val="clear" w:color="auto" w:fill="FAE2D5"/>
          </w:tcPr>
          <w:p w14:paraId="067D8E13" w14:textId="056A12CE" w:rsidR="006A610D" w:rsidRPr="00D71CFA" w:rsidRDefault="006A610D" w:rsidP="00331AB4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9A4759">
              <w:rPr>
                <w:rFonts w:eastAsia="Aptos"/>
                <w:b/>
                <w:bCs/>
                <w:szCs w:val="24"/>
              </w:rPr>
              <w:t>06.1.3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(PIAO 2025)</w:t>
            </w:r>
          </w:p>
        </w:tc>
      </w:tr>
      <w:tr w:rsidR="006A610D" w:rsidRPr="00D71CFA" w14:paraId="7212D0B6" w14:textId="77777777" w:rsidTr="00331AB4">
        <w:tc>
          <w:tcPr>
            <w:tcW w:w="10343" w:type="dxa"/>
            <w:shd w:val="clear" w:color="auto" w:fill="FAE2D5"/>
          </w:tcPr>
          <w:p w14:paraId="7D243BB0" w14:textId="77777777" w:rsidR="006A610D" w:rsidRPr="00D71CFA" w:rsidRDefault="006A610D" w:rsidP="00331AB4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56DDC708" w14:textId="77777777" w:rsidR="006A610D" w:rsidRPr="00D71CFA" w:rsidRDefault="006A610D" w:rsidP="006A610D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6A610D" w:rsidRPr="00D71CFA" w14:paraId="7250DB6E" w14:textId="77777777" w:rsidTr="00331AB4">
        <w:tc>
          <w:tcPr>
            <w:tcW w:w="9628" w:type="dxa"/>
            <w:gridSpan w:val="3"/>
          </w:tcPr>
          <w:p w14:paraId="152973EC" w14:textId="77777777"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6A610D" w:rsidRPr="00D71CFA" w14:paraId="0501FD40" w14:textId="77777777" w:rsidTr="00331AB4">
        <w:tc>
          <w:tcPr>
            <w:tcW w:w="4814" w:type="dxa"/>
            <w:gridSpan w:val="2"/>
            <w:shd w:val="clear" w:color="auto" w:fill="DAE9F7"/>
          </w:tcPr>
          <w:p w14:paraId="22FEFBBB" w14:textId="77777777"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2B0BF6A6" w14:textId="77777777"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6A610D" w:rsidRPr="00D71CFA" w14:paraId="148F2388" w14:textId="77777777" w:rsidTr="00331AB4">
        <w:tc>
          <w:tcPr>
            <w:tcW w:w="4814" w:type="dxa"/>
            <w:gridSpan w:val="2"/>
            <w:vAlign w:val="center"/>
          </w:tcPr>
          <w:p w14:paraId="385D238B" w14:textId="77777777"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 xml:space="preserve">Sanzioni e provvedimenti amministrativi </w:t>
            </w:r>
          </w:p>
        </w:tc>
        <w:tc>
          <w:tcPr>
            <w:tcW w:w="4814" w:type="dxa"/>
            <w:vAlign w:val="center"/>
          </w:tcPr>
          <w:p w14:paraId="6829542D" w14:textId="77777777" w:rsidR="006A610D" w:rsidRPr="00D71CFA" w:rsidRDefault="006A610D" w:rsidP="00331AB4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Gestione delle sanzioni per violazioni del codice della strada</w:t>
            </w:r>
          </w:p>
        </w:tc>
      </w:tr>
      <w:tr w:rsidR="006A610D" w:rsidRPr="00D71CFA" w14:paraId="49C4FC69" w14:textId="77777777" w:rsidTr="00331AB4">
        <w:tc>
          <w:tcPr>
            <w:tcW w:w="3324" w:type="dxa"/>
            <w:shd w:val="clear" w:color="auto" w:fill="DAE9F7"/>
            <w:vAlign w:val="center"/>
          </w:tcPr>
          <w:p w14:paraId="5252E26F" w14:textId="77777777" w:rsidR="006A610D" w:rsidRPr="00D71CFA" w:rsidRDefault="006A610D" w:rsidP="00331AB4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50C5A7D8" w14:textId="7A19F893" w:rsidR="006A610D" w:rsidRPr="00D71CFA" w:rsidRDefault="009A4759" w:rsidP="00331AB4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 w:rsidRPr="00295298">
              <w:rPr>
                <w:rFonts w:eastAsia="Aptos"/>
                <w:b/>
                <w:bCs/>
                <w:i/>
                <w:iCs/>
                <w:szCs w:val="24"/>
              </w:rPr>
              <w:t>Ufficio Polizia Locale</w:t>
            </w:r>
          </w:p>
        </w:tc>
      </w:tr>
    </w:tbl>
    <w:p w14:paraId="2514140D" w14:textId="77777777" w:rsidR="006A610D" w:rsidRPr="00D71CFA" w:rsidRDefault="006A610D" w:rsidP="006A610D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610D" w:rsidRPr="00D71CFA" w14:paraId="77955811" w14:textId="77777777" w:rsidTr="00331AB4">
        <w:tc>
          <w:tcPr>
            <w:tcW w:w="10343" w:type="dxa"/>
            <w:shd w:val="clear" w:color="auto" w:fill="auto"/>
          </w:tcPr>
          <w:p w14:paraId="0E51EA47" w14:textId="77777777" w:rsidR="006A610D" w:rsidRPr="00D71CFA" w:rsidRDefault="006A610D" w:rsidP="00331AB4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6A610D" w:rsidRPr="00D71CFA" w14:paraId="0C13F6F4" w14:textId="77777777" w:rsidTr="00331AB4">
        <w:tc>
          <w:tcPr>
            <w:tcW w:w="10343" w:type="dxa"/>
            <w:shd w:val="clear" w:color="auto" w:fill="DAE9F7"/>
          </w:tcPr>
          <w:p w14:paraId="37607FCF" w14:textId="77777777" w:rsidR="006A610D" w:rsidRPr="00D71CFA" w:rsidRDefault="006A610D" w:rsidP="00331AB4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6A610D" w:rsidRPr="00D71CFA" w14:paraId="0DCC50E9" w14:textId="77777777" w:rsidTr="00331AB4">
        <w:tc>
          <w:tcPr>
            <w:tcW w:w="10343" w:type="dxa"/>
          </w:tcPr>
          <w:p w14:paraId="74F59E71" w14:textId="77777777" w:rsidR="006A610D" w:rsidRPr="00D71CFA" w:rsidRDefault="006A610D" w:rsidP="00331AB4">
            <w:pPr>
              <w:rPr>
                <w:rFonts w:eastAsia="Aptos"/>
                <w:b/>
                <w:i/>
                <w:iCs/>
              </w:rPr>
            </w:pPr>
            <w:r w:rsidRPr="00B40D24">
              <w:rPr>
                <w:rFonts w:eastAsia="Aptos"/>
                <w:b/>
                <w:i/>
                <w:iCs/>
              </w:rPr>
              <w:t>Annullamento o riduzione ingiustificata di sanzioni a seguito di</w:t>
            </w:r>
            <w:r>
              <w:rPr>
                <w:rFonts w:eastAsia="Aptos"/>
                <w:b/>
                <w:i/>
                <w:iCs/>
              </w:rPr>
              <w:t xml:space="preserve"> favoritismi</w:t>
            </w:r>
          </w:p>
        </w:tc>
      </w:tr>
    </w:tbl>
    <w:p w14:paraId="7248B7DC" w14:textId="77777777" w:rsidR="006A610D" w:rsidRPr="00D71CFA" w:rsidRDefault="006A610D" w:rsidP="006A610D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4"/>
        <w:gridCol w:w="1039"/>
        <w:gridCol w:w="2406"/>
        <w:gridCol w:w="1112"/>
        <w:gridCol w:w="1763"/>
        <w:gridCol w:w="804"/>
      </w:tblGrid>
      <w:tr w:rsidR="006A610D" w:rsidRPr="00D71CFA" w14:paraId="3D54EC00" w14:textId="77777777" w:rsidTr="00331AB4">
        <w:tc>
          <w:tcPr>
            <w:tcW w:w="10343" w:type="dxa"/>
            <w:gridSpan w:val="6"/>
            <w:shd w:val="clear" w:color="auto" w:fill="DAE9F7"/>
          </w:tcPr>
          <w:p w14:paraId="6AC25C1E" w14:textId="77777777" w:rsidR="006A610D" w:rsidRPr="00D71CFA" w:rsidRDefault="006A610D" w:rsidP="00331AB4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6A610D" w:rsidRPr="00D71CFA" w14:paraId="44C64CFA" w14:textId="77777777" w:rsidTr="00331AB4">
        <w:tc>
          <w:tcPr>
            <w:tcW w:w="10343" w:type="dxa"/>
            <w:gridSpan w:val="6"/>
          </w:tcPr>
          <w:p w14:paraId="7DEE9490" w14:textId="77777777" w:rsidR="006A610D" w:rsidRPr="00D71CFA" w:rsidRDefault="006A610D" w:rsidP="00331AB4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6A610D" w:rsidRPr="00D71CFA" w14:paraId="3A5E40D8" w14:textId="77777777" w:rsidTr="00331AB4">
        <w:tc>
          <w:tcPr>
            <w:tcW w:w="9493" w:type="dxa"/>
            <w:gridSpan w:val="5"/>
          </w:tcPr>
          <w:p w14:paraId="0683E59F" w14:textId="77777777"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0D0CAD3A" w14:textId="4EF35CD9" w:rsidR="006A610D" w:rsidRPr="00D71CFA" w:rsidRDefault="00796947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A610D" w:rsidRPr="00D71CFA" w14:paraId="759B9841" w14:textId="77777777" w:rsidTr="00331AB4">
        <w:tc>
          <w:tcPr>
            <w:tcW w:w="9493" w:type="dxa"/>
            <w:gridSpan w:val="5"/>
          </w:tcPr>
          <w:p w14:paraId="4CEA6FD7" w14:textId="77777777"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58D16EFC" w14:textId="05F3535D" w:rsidR="006A610D" w:rsidRPr="00D71CFA" w:rsidRDefault="00796947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6A610D" w:rsidRPr="00D71CFA" w14:paraId="2258B1A9" w14:textId="77777777" w:rsidTr="00331AB4">
        <w:tc>
          <w:tcPr>
            <w:tcW w:w="9493" w:type="dxa"/>
            <w:gridSpan w:val="5"/>
          </w:tcPr>
          <w:p w14:paraId="6D2CE63A" w14:textId="77777777"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6E893F92" w14:textId="77777777"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6A610D" w:rsidRPr="00D71CFA" w14:paraId="3EAC386B" w14:textId="77777777" w:rsidTr="00331AB4">
        <w:tc>
          <w:tcPr>
            <w:tcW w:w="9493" w:type="dxa"/>
            <w:gridSpan w:val="5"/>
          </w:tcPr>
          <w:p w14:paraId="3FA47058" w14:textId="77777777"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2276B28B" w14:textId="77777777"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6A610D" w:rsidRPr="00D71CFA" w14:paraId="0E72AEFB" w14:textId="77777777" w:rsidTr="00331AB4">
        <w:tc>
          <w:tcPr>
            <w:tcW w:w="9493" w:type="dxa"/>
            <w:gridSpan w:val="5"/>
          </w:tcPr>
          <w:p w14:paraId="6FFD2401" w14:textId="77777777"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D5B30F9" w14:textId="23EA8DCB" w:rsidR="006A610D" w:rsidRPr="00D71CFA" w:rsidRDefault="00796947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A610D" w:rsidRPr="00D71CFA" w14:paraId="71E0170C" w14:textId="77777777" w:rsidTr="00331AB4">
        <w:tc>
          <w:tcPr>
            <w:tcW w:w="9493" w:type="dxa"/>
            <w:gridSpan w:val="5"/>
          </w:tcPr>
          <w:p w14:paraId="60AF8396" w14:textId="77777777"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4857F85E" w14:textId="71254E2B" w:rsidR="006A610D" w:rsidRPr="00D71CFA" w:rsidRDefault="00796947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A610D" w:rsidRPr="00D71CFA" w14:paraId="0EFCF09D" w14:textId="77777777" w:rsidTr="00331AB4">
        <w:trPr>
          <w:trHeight w:val="473"/>
        </w:trPr>
        <w:tc>
          <w:tcPr>
            <w:tcW w:w="2689" w:type="dxa"/>
            <w:vAlign w:val="center"/>
          </w:tcPr>
          <w:p w14:paraId="3CE10C97" w14:textId="77777777" w:rsidR="006A610D" w:rsidRPr="00D71CFA" w:rsidRDefault="006A610D" w:rsidP="00331AB4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20ACBF9E" w14:textId="1AE25F89" w:rsidR="006A610D" w:rsidRPr="00D71CFA" w:rsidRDefault="00796947" w:rsidP="00331AB4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1,6</w:t>
            </w:r>
          </w:p>
        </w:tc>
        <w:tc>
          <w:tcPr>
            <w:tcW w:w="2577" w:type="dxa"/>
            <w:vAlign w:val="center"/>
          </w:tcPr>
          <w:p w14:paraId="1E3FE42C" w14:textId="77777777" w:rsidR="006A610D" w:rsidRPr="00D71CFA" w:rsidRDefault="006A610D" w:rsidP="00331AB4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1421224F" w14:textId="03964AE0" w:rsidR="006A610D" w:rsidRPr="00D71CFA" w:rsidRDefault="00796947" w:rsidP="00331AB4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3</w:t>
            </w:r>
          </w:p>
        </w:tc>
        <w:tc>
          <w:tcPr>
            <w:tcW w:w="1899" w:type="dxa"/>
            <w:vAlign w:val="center"/>
          </w:tcPr>
          <w:p w14:paraId="562DFEA0" w14:textId="77777777" w:rsidR="006A610D" w:rsidRPr="00D71CFA" w:rsidRDefault="006A610D" w:rsidP="00331AB4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3D8E165E" w14:textId="4F532C4F" w:rsidR="006A610D" w:rsidRPr="00D71CFA" w:rsidRDefault="00796947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10</w:t>
            </w:r>
          </w:p>
        </w:tc>
      </w:tr>
      <w:tr w:rsidR="006A610D" w:rsidRPr="00D71CFA" w14:paraId="320180A4" w14:textId="77777777" w:rsidTr="00331AB4">
        <w:tc>
          <w:tcPr>
            <w:tcW w:w="10343" w:type="dxa"/>
            <w:gridSpan w:val="6"/>
          </w:tcPr>
          <w:p w14:paraId="18A7700F" w14:textId="77777777" w:rsidR="006A610D" w:rsidRPr="00D71CFA" w:rsidRDefault="006A610D" w:rsidP="00331AB4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6A82ABB0" w14:textId="77777777"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7EB0D729" w14:textId="77777777" w:rsidR="006A610D" w:rsidRDefault="006A610D" w:rsidP="006A610D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6A610D" w:rsidRPr="00D71CFA" w14:paraId="382B1B6F" w14:textId="77777777" w:rsidTr="00331AB4">
        <w:tc>
          <w:tcPr>
            <w:tcW w:w="9628" w:type="dxa"/>
            <w:gridSpan w:val="2"/>
          </w:tcPr>
          <w:p w14:paraId="613B39F3" w14:textId="77777777"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6A610D" w:rsidRPr="00D71CFA" w14:paraId="66D8BD5A" w14:textId="77777777" w:rsidTr="00331AB4">
        <w:tc>
          <w:tcPr>
            <w:tcW w:w="9628" w:type="dxa"/>
            <w:gridSpan w:val="2"/>
            <w:shd w:val="clear" w:color="auto" w:fill="FAE2D5"/>
          </w:tcPr>
          <w:p w14:paraId="68C84A56" w14:textId="77777777"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A610D" w:rsidRPr="00D71CFA" w14:paraId="24261131" w14:textId="77777777" w:rsidTr="00331AB4">
        <w:tc>
          <w:tcPr>
            <w:tcW w:w="9628" w:type="dxa"/>
            <w:gridSpan w:val="2"/>
          </w:tcPr>
          <w:p w14:paraId="23E5060E" w14:textId="77777777" w:rsidR="006A610D" w:rsidRPr="00FB681E" w:rsidRDefault="006A610D" w:rsidP="00331AB4">
            <w:pPr>
              <w:ind w:left="0" w:firstLine="0"/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FB681E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Implementazione e pubblicità del canale interno di comunicazioni (Whistleblowing) per permettere ai dipendenti di segnalare eventuali irregolarità o pressioni indebite</w:t>
            </w:r>
          </w:p>
        </w:tc>
      </w:tr>
      <w:tr w:rsidR="006A610D" w:rsidRPr="00D71CFA" w14:paraId="5F623DA6" w14:textId="77777777" w:rsidTr="00331AB4">
        <w:tc>
          <w:tcPr>
            <w:tcW w:w="4505" w:type="dxa"/>
            <w:shd w:val="clear" w:color="auto" w:fill="DAE9F7"/>
          </w:tcPr>
          <w:p w14:paraId="636E50ED" w14:textId="77777777"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1A2382EB" w14:textId="77777777"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A610D" w:rsidRPr="00D71CFA" w14:paraId="2E682EF5" w14:textId="77777777" w:rsidTr="00331AB4">
        <w:tc>
          <w:tcPr>
            <w:tcW w:w="4505" w:type="dxa"/>
            <w:vAlign w:val="center"/>
          </w:tcPr>
          <w:p w14:paraId="56E3DFB2" w14:textId="77777777" w:rsidR="006A610D" w:rsidRPr="00D71CFA" w:rsidRDefault="006A610D" w:rsidP="00331AB4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7F099A0F" w14:textId="77777777" w:rsidR="006A610D" w:rsidRPr="00DA1F3A" w:rsidRDefault="006A610D" w:rsidP="00331AB4">
            <w:pP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Misura si/no</w:t>
            </w:r>
          </w:p>
        </w:tc>
      </w:tr>
    </w:tbl>
    <w:p w14:paraId="6DDE2A11" w14:textId="77777777" w:rsidR="006A610D" w:rsidRPr="00D71CFA" w:rsidRDefault="006A610D" w:rsidP="006A610D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6A610D" w:rsidRPr="00D71CFA" w14:paraId="5D30CE9A" w14:textId="77777777" w:rsidTr="00331AB4">
        <w:tc>
          <w:tcPr>
            <w:tcW w:w="10343" w:type="dxa"/>
            <w:gridSpan w:val="3"/>
            <w:shd w:val="clear" w:color="auto" w:fill="FFFFFF"/>
          </w:tcPr>
          <w:p w14:paraId="7F00CFCC" w14:textId="77777777"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6A610D" w:rsidRPr="00D71CFA" w14:paraId="5FBD36F8" w14:textId="77777777" w:rsidTr="00331AB4">
        <w:tc>
          <w:tcPr>
            <w:tcW w:w="2689" w:type="dxa"/>
            <w:shd w:val="clear" w:color="auto" w:fill="DAE9F7"/>
          </w:tcPr>
          <w:p w14:paraId="3472CFC6" w14:textId="77777777"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3399B300" w14:textId="77777777"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2A74D933" w14:textId="77777777"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6A610D" w:rsidRPr="00D71CFA" w14:paraId="11171756" w14:textId="77777777" w:rsidTr="00331AB4">
        <w:tc>
          <w:tcPr>
            <w:tcW w:w="2689" w:type="dxa"/>
          </w:tcPr>
          <w:p w14:paraId="78F29FD5" w14:textId="77777777"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0EEAA31F" w14:textId="77777777"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5A808FBC" w14:textId="77777777"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6A610D" w:rsidRPr="00D71CFA" w14:paraId="3F65D2FA" w14:textId="77777777" w:rsidTr="00331AB4">
        <w:tc>
          <w:tcPr>
            <w:tcW w:w="2689" w:type="dxa"/>
            <w:vAlign w:val="center"/>
          </w:tcPr>
          <w:p w14:paraId="3DE6F145" w14:textId="77777777"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5FC2B24A" w14:textId="77777777"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B3EB300" w14:textId="77777777"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</w:p>
        </w:tc>
      </w:tr>
      <w:tr w:rsidR="006A610D" w:rsidRPr="00D71CFA" w14:paraId="16574AEA" w14:textId="77777777" w:rsidTr="00331AB4">
        <w:tc>
          <w:tcPr>
            <w:tcW w:w="10343" w:type="dxa"/>
            <w:gridSpan w:val="3"/>
            <w:shd w:val="clear" w:color="auto" w:fill="DAE9F7"/>
          </w:tcPr>
          <w:p w14:paraId="405BA1B4" w14:textId="77777777"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6A610D" w:rsidRPr="00D71CFA" w14:paraId="441BBBF6" w14:textId="77777777" w:rsidTr="00331AB4">
        <w:tc>
          <w:tcPr>
            <w:tcW w:w="10343" w:type="dxa"/>
            <w:gridSpan w:val="3"/>
          </w:tcPr>
          <w:p w14:paraId="2DE1A24A" w14:textId="77777777"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6C70E11D" w14:textId="77777777" w:rsidR="00ED1E2F" w:rsidRDefault="00ED1E2F"/>
    <w:sectPr w:rsidR="00ED1E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CA"/>
    <w:rsid w:val="00295298"/>
    <w:rsid w:val="005A35D8"/>
    <w:rsid w:val="00652476"/>
    <w:rsid w:val="006A610D"/>
    <w:rsid w:val="00780540"/>
    <w:rsid w:val="00785CCA"/>
    <w:rsid w:val="00796947"/>
    <w:rsid w:val="00842FA0"/>
    <w:rsid w:val="009A4759"/>
    <w:rsid w:val="00A4023C"/>
    <w:rsid w:val="00AE6859"/>
    <w:rsid w:val="00ED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9E79"/>
  <w15:chartTrackingRefBased/>
  <w15:docId w15:val="{5757227D-CF80-439C-A187-2AAF64A1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610D"/>
  </w:style>
  <w:style w:type="paragraph" w:styleId="Titolo1">
    <w:name w:val="heading 1"/>
    <w:basedOn w:val="Normale"/>
    <w:next w:val="Normale"/>
    <w:link w:val="Titolo1Carattere"/>
    <w:uiPriority w:val="9"/>
    <w:qFormat/>
    <w:rsid w:val="00785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5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5C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5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5C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5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5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5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5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5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5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5C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5CC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5CC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5CC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5CC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5CC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5CC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5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5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5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5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5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5CC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85CC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5CC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5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5CC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5CCA"/>
    <w:rPr>
      <w:b/>
      <w:bCs/>
      <w:smallCaps/>
      <w:color w:val="2F5496" w:themeColor="accent1" w:themeShade="BF"/>
      <w:spacing w:val="5"/>
    </w:rPr>
  </w:style>
  <w:style w:type="table" w:customStyle="1" w:styleId="Grigliatabella1">
    <w:name w:val="Griglia tabella1"/>
    <w:basedOn w:val="Tabellanormale"/>
    <w:next w:val="Grigliatabella"/>
    <w:uiPriority w:val="99"/>
    <w:rsid w:val="006A610D"/>
    <w:pPr>
      <w:spacing w:after="0" w:line="240" w:lineRule="auto"/>
      <w:ind w:left="6" w:hanging="6"/>
      <w:jc w:val="both"/>
    </w:pPr>
    <w:rPr>
      <w:rFonts w:ascii="Arial" w:hAnsi="Arial" w:cs="Arial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6A6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1172</Words>
  <Characters>6682</Characters>
  <Application>Microsoft Office Word</Application>
  <DocSecurity>0</DocSecurity>
  <Lines>55</Lines>
  <Paragraphs>15</Paragraphs>
  <ScaleCrop>false</ScaleCrop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Omnia 02</dc:creator>
  <cp:keywords/>
  <dc:description/>
  <cp:lastModifiedBy>Comune Valganna</cp:lastModifiedBy>
  <cp:revision>6</cp:revision>
  <dcterms:created xsi:type="dcterms:W3CDTF">2025-02-19T07:51:00Z</dcterms:created>
  <dcterms:modified xsi:type="dcterms:W3CDTF">2025-04-07T07:34:00Z</dcterms:modified>
</cp:coreProperties>
</file>